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930"/>
        <w:tblW w:w="5000" w:type="pct"/>
        <w:tblCellSpacing w:w="0" w:type="dxa"/>
        <w:tblCellMar>
          <w:top w:w="75" w:type="dxa"/>
          <w:left w:w="75" w:type="dxa"/>
          <w:bottom w:w="75" w:type="dxa"/>
          <w:right w:w="75" w:type="dxa"/>
        </w:tblCellMar>
        <w:tblLook w:val="04A0"/>
      </w:tblPr>
      <w:tblGrid>
        <w:gridCol w:w="3780"/>
        <w:gridCol w:w="2675"/>
        <w:gridCol w:w="2767"/>
      </w:tblGrid>
      <w:tr w:rsidR="00967BEF" w:rsidRPr="00967BEF" w:rsidTr="00BA6C20">
        <w:trPr>
          <w:tblCellSpacing w:w="0" w:type="dxa"/>
        </w:trPr>
        <w:tc>
          <w:tcPr>
            <w:tcW w:w="0" w:type="auto"/>
            <w:shd w:val="clear" w:color="auto" w:fill="F8C8C8"/>
            <w:hideMark/>
          </w:tcPr>
          <w:p w:rsidR="00967BEF" w:rsidRPr="00967BEF" w:rsidRDefault="004F43B2" w:rsidP="00BA6C20">
            <w:pPr>
              <w:spacing w:after="0" w:line="240" w:lineRule="auto"/>
              <w:rPr>
                <w:rFonts w:ascii="Times New Roman" w:eastAsia="Times New Roman" w:hAnsi="Times New Roman"/>
                <w:color w:val="000000"/>
                <w:sz w:val="24"/>
                <w:szCs w:val="24"/>
                <w:lang w:eastAsia="cs-CZ"/>
              </w:rPr>
            </w:pPr>
            <w:r>
              <w:rPr>
                <w:rFonts w:ascii="Times New Roman" w:eastAsia="Times New Roman" w:hAnsi="Times New Roman"/>
                <w:noProof/>
                <w:color w:val="0000EE"/>
                <w:sz w:val="24"/>
                <w:szCs w:val="24"/>
                <w:lang w:eastAsia="cs-CZ"/>
              </w:rPr>
              <w:drawing>
                <wp:inline distT="0" distB="0" distL="0" distR="0">
                  <wp:extent cx="2286000" cy="2286000"/>
                  <wp:effectExtent l="19050" t="0" r="0" b="0"/>
                  <wp:docPr id="1" name="obrázek 1" descr="View picture in original siz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ew picture in original size"/>
                          <pic:cNvPicPr>
                            <a:picLocks noChangeAspect="1" noChangeArrowheads="1"/>
                          </pic:cNvPicPr>
                        </pic:nvPicPr>
                        <pic:blipFill>
                          <a:blip r:embed="rId5"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967BEF" w:rsidRPr="00967BEF" w:rsidRDefault="004F43B2" w:rsidP="00BA6C20">
            <w:pPr>
              <w:spacing w:before="100" w:beforeAutospacing="1" w:after="100" w:afterAutospacing="1" w:line="240" w:lineRule="auto"/>
              <w:rPr>
                <w:rFonts w:ascii="Times New Roman" w:eastAsia="Times New Roman" w:hAnsi="Times New Roman"/>
                <w:color w:val="000000"/>
                <w:sz w:val="24"/>
                <w:szCs w:val="24"/>
                <w:lang w:eastAsia="cs-CZ"/>
              </w:rPr>
            </w:pPr>
            <w:r>
              <w:rPr>
                <w:rFonts w:ascii="Times New Roman" w:eastAsia="Times New Roman" w:hAnsi="Times New Roman"/>
                <w:noProof/>
                <w:color w:val="0000EE"/>
                <w:sz w:val="24"/>
                <w:szCs w:val="24"/>
                <w:lang w:eastAsia="cs-CZ"/>
              </w:rPr>
              <w:drawing>
                <wp:inline distT="0" distB="0" distL="0" distR="0">
                  <wp:extent cx="2286000" cy="2286000"/>
                  <wp:effectExtent l="19050" t="0" r="0" b="0"/>
                  <wp:docPr id="4" name="obrázek 2" descr="View picture in original siz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iew picture in original size"/>
                          <pic:cNvPicPr>
                            <a:picLocks noChangeAspect="1" noChangeArrowheads="1"/>
                          </pic:cNvPicPr>
                        </pic:nvPicPr>
                        <pic:blipFill>
                          <a:blip r:embed="rId7"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tc>
        <w:tc>
          <w:tcPr>
            <w:tcW w:w="0" w:type="auto"/>
            <w:shd w:val="clear" w:color="auto" w:fill="FFD2D2"/>
            <w:hideMark/>
          </w:tcPr>
          <w:p w:rsidR="00967BEF" w:rsidRPr="00967BEF" w:rsidRDefault="00967BEF" w:rsidP="00BA6C20">
            <w:pPr>
              <w:spacing w:after="0" w:line="240" w:lineRule="auto"/>
              <w:rPr>
                <w:rFonts w:ascii="Times New Roman" w:eastAsia="Times New Roman" w:hAnsi="Times New Roman"/>
                <w:color w:val="000000"/>
                <w:sz w:val="24"/>
                <w:szCs w:val="24"/>
                <w:lang w:eastAsia="cs-CZ"/>
              </w:rPr>
            </w:pPr>
            <w:r w:rsidRPr="00967BEF">
              <w:rPr>
                <w:rFonts w:ascii="Times New Roman" w:eastAsia="Times New Roman" w:hAnsi="Times New Roman"/>
                <w:b/>
                <w:bCs/>
                <w:color w:val="000000"/>
                <w:sz w:val="27"/>
                <w:szCs w:val="27"/>
                <w:lang w:eastAsia="cs-CZ"/>
              </w:rPr>
              <w:t>Alpina 291 (Moeris 19'''B)</w:t>
            </w:r>
            <w:r w:rsidRPr="00967BEF">
              <w:rPr>
                <w:rFonts w:ascii="Times New Roman" w:eastAsia="Times New Roman" w:hAnsi="Times New Roman"/>
                <w:color w:val="000000"/>
                <w:sz w:val="24"/>
                <w:szCs w:val="24"/>
                <w:lang w:eastAsia="cs-CZ"/>
              </w:rPr>
              <w:br/>
            </w:r>
            <w:r w:rsidRPr="00967BEF">
              <w:rPr>
                <w:rFonts w:ascii="Times New Roman" w:eastAsia="Times New Roman" w:hAnsi="Times New Roman"/>
                <w:color w:val="000000"/>
                <w:sz w:val="24"/>
                <w:szCs w:val="24"/>
                <w:lang w:eastAsia="cs-CZ"/>
              </w:rPr>
              <w:br/>
            </w:r>
            <w:r w:rsidRPr="00967BEF">
              <w:rPr>
                <w:rFonts w:ascii="Times New Roman" w:eastAsia="Times New Roman" w:hAnsi="Times New Roman"/>
                <w:b/>
                <w:bCs/>
                <w:color w:val="000000"/>
                <w:sz w:val="24"/>
                <w:szCs w:val="24"/>
                <w:lang w:eastAsia="cs-CZ"/>
              </w:rPr>
              <w:t>Features</w:t>
            </w:r>
            <w:r w:rsidRPr="00967BEF">
              <w:rPr>
                <w:rFonts w:ascii="Times New Roman" w:eastAsia="Times New Roman" w:hAnsi="Times New Roman"/>
                <w:color w:val="000000"/>
                <w:sz w:val="24"/>
                <w:szCs w:val="24"/>
                <w:lang w:eastAsia="cs-CZ"/>
              </w:rPr>
              <w:br/>
              <w:t>stem wind and set</w:t>
            </w:r>
            <w:r w:rsidRPr="00967BEF">
              <w:rPr>
                <w:rFonts w:ascii="Times New Roman" w:eastAsia="Times New Roman" w:hAnsi="Times New Roman"/>
                <w:color w:val="000000"/>
                <w:sz w:val="24"/>
                <w:szCs w:val="24"/>
                <w:lang w:eastAsia="cs-CZ"/>
              </w:rPr>
              <w:br/>
              <w:t>sub second</w:t>
            </w:r>
            <w:r w:rsidRPr="00967BEF">
              <w:rPr>
                <w:rFonts w:ascii="Times New Roman" w:eastAsia="Times New Roman" w:hAnsi="Times New Roman"/>
                <w:color w:val="000000"/>
                <w:sz w:val="24"/>
                <w:szCs w:val="24"/>
                <w:lang w:eastAsia="cs-CZ"/>
              </w:rPr>
              <w:br/>
            </w:r>
            <w:r w:rsidRPr="00967BEF">
              <w:rPr>
                <w:rFonts w:ascii="Times New Roman" w:eastAsia="Times New Roman" w:hAnsi="Times New Roman"/>
                <w:color w:val="000000"/>
                <w:sz w:val="24"/>
                <w:szCs w:val="24"/>
                <w:lang w:eastAsia="cs-CZ"/>
              </w:rPr>
              <w:br/>
            </w:r>
            <w:r w:rsidRPr="00967BEF">
              <w:rPr>
                <w:rFonts w:ascii="Times New Roman" w:eastAsia="Times New Roman" w:hAnsi="Times New Roman"/>
                <w:b/>
                <w:bCs/>
                <w:color w:val="000000"/>
                <w:sz w:val="24"/>
                <w:szCs w:val="24"/>
                <w:lang w:eastAsia="cs-CZ"/>
              </w:rPr>
              <w:t>Data</w:t>
            </w:r>
            <w:r w:rsidRPr="00967BEF">
              <w:rPr>
                <w:rFonts w:ascii="Times New Roman" w:eastAsia="Times New Roman" w:hAnsi="Times New Roman"/>
                <w:color w:val="000000"/>
                <w:sz w:val="24"/>
                <w:szCs w:val="24"/>
                <w:lang w:eastAsia="cs-CZ"/>
              </w:rPr>
              <w:br/>
              <w:t>19''', Dm= 42.05mm, H= 5.25mm</w:t>
            </w:r>
            <w:r w:rsidRPr="00967BEF">
              <w:rPr>
                <w:rFonts w:ascii="Times New Roman" w:eastAsia="Times New Roman" w:hAnsi="Times New Roman"/>
                <w:color w:val="000000"/>
                <w:sz w:val="24"/>
                <w:szCs w:val="24"/>
                <w:lang w:eastAsia="cs-CZ"/>
              </w:rPr>
              <w:br/>
              <w:t>15 Jewels</w:t>
            </w:r>
            <w:r w:rsidRPr="00967BEF">
              <w:rPr>
                <w:rFonts w:ascii="Times New Roman" w:eastAsia="Times New Roman" w:hAnsi="Times New Roman"/>
                <w:color w:val="000000"/>
                <w:sz w:val="24"/>
                <w:szCs w:val="24"/>
                <w:lang w:eastAsia="cs-CZ"/>
              </w:rPr>
              <w:br/>
              <w:t>f = 18000 A/h</w:t>
            </w:r>
            <w:r w:rsidRPr="00967BEF">
              <w:rPr>
                <w:rFonts w:ascii="Times New Roman" w:eastAsia="Times New Roman" w:hAnsi="Times New Roman"/>
                <w:color w:val="000000"/>
                <w:sz w:val="24"/>
                <w:szCs w:val="24"/>
                <w:lang w:eastAsia="cs-CZ"/>
              </w:rPr>
              <w:br/>
              <w:t>power reserve 31h</w:t>
            </w:r>
          </w:p>
        </w:tc>
        <w:tc>
          <w:tcPr>
            <w:tcW w:w="1500" w:type="pct"/>
            <w:shd w:val="clear" w:color="auto" w:fill="F8C8C8"/>
            <w:hideMark/>
          </w:tcPr>
          <w:p w:rsidR="00967BEF" w:rsidRPr="00967BEF" w:rsidRDefault="00967BEF" w:rsidP="00BA6C20">
            <w:pPr>
              <w:spacing w:after="0" w:line="240" w:lineRule="auto"/>
              <w:rPr>
                <w:rFonts w:ascii="Times New Roman" w:eastAsia="Times New Roman" w:hAnsi="Times New Roman"/>
                <w:color w:val="000000"/>
                <w:sz w:val="24"/>
                <w:szCs w:val="24"/>
                <w:lang w:eastAsia="cs-CZ"/>
              </w:rPr>
            </w:pPr>
            <w:r w:rsidRPr="00967BEF">
              <w:rPr>
                <w:rFonts w:ascii="Times New Roman" w:eastAsia="Times New Roman" w:hAnsi="Times New Roman"/>
                <w:color w:val="000000"/>
                <w:sz w:val="24"/>
                <w:szCs w:val="24"/>
                <w:lang w:eastAsia="cs-CZ"/>
              </w:rPr>
              <w:br/>
            </w:r>
            <w:r w:rsidRPr="00967BEF">
              <w:rPr>
                <w:rFonts w:ascii="Times New Roman" w:eastAsia="Times New Roman" w:hAnsi="Times New Roman"/>
                <w:b/>
                <w:bCs/>
                <w:color w:val="000000"/>
                <w:sz w:val="24"/>
                <w:szCs w:val="24"/>
                <w:lang w:eastAsia="cs-CZ"/>
              </w:rPr>
              <w:t>Remarks</w:t>
            </w:r>
            <w:r w:rsidRPr="00967BEF">
              <w:rPr>
                <w:rFonts w:ascii="Times New Roman" w:eastAsia="Times New Roman" w:hAnsi="Times New Roman"/>
                <w:color w:val="000000"/>
                <w:sz w:val="24"/>
                <w:szCs w:val="24"/>
                <w:lang w:eastAsia="cs-CZ"/>
              </w:rPr>
              <w:br/>
              <w:t>open face calibre</w:t>
            </w:r>
            <w:r w:rsidRPr="00967BEF">
              <w:rPr>
                <w:rFonts w:ascii="Times New Roman" w:eastAsia="Times New Roman" w:hAnsi="Times New Roman"/>
                <w:color w:val="000000"/>
                <w:sz w:val="24"/>
                <w:szCs w:val="24"/>
                <w:lang w:eastAsia="cs-CZ"/>
              </w:rPr>
              <w:br/>
              <w:t>differences not known between 291, 1719</w:t>
            </w:r>
            <w:r w:rsidRPr="00967BEF">
              <w:rPr>
                <w:rFonts w:ascii="Times New Roman" w:eastAsia="Times New Roman" w:hAnsi="Times New Roman"/>
                <w:color w:val="000000"/>
                <w:sz w:val="24"/>
                <w:szCs w:val="24"/>
                <w:lang w:eastAsia="cs-CZ"/>
              </w:rPr>
              <w:br/>
            </w:r>
            <w:r w:rsidRPr="00967BEF">
              <w:rPr>
                <w:rFonts w:ascii="Times New Roman" w:eastAsia="Times New Roman" w:hAnsi="Times New Roman"/>
                <w:color w:val="000000"/>
                <w:sz w:val="24"/>
                <w:szCs w:val="24"/>
                <w:lang w:eastAsia="cs-CZ"/>
              </w:rPr>
              <w:br/>
            </w:r>
            <w:r w:rsidRPr="00967BEF">
              <w:rPr>
                <w:rFonts w:ascii="Times New Roman" w:eastAsia="Times New Roman" w:hAnsi="Times New Roman"/>
                <w:b/>
                <w:bCs/>
                <w:color w:val="000000"/>
                <w:sz w:val="24"/>
                <w:szCs w:val="24"/>
                <w:lang w:eastAsia="cs-CZ"/>
              </w:rPr>
              <w:t>Example, year: signature; shock device</w:t>
            </w:r>
            <w:r w:rsidRPr="00967BEF">
              <w:rPr>
                <w:rFonts w:ascii="Times New Roman" w:eastAsia="Times New Roman" w:hAnsi="Times New Roman"/>
                <w:color w:val="000000"/>
                <w:sz w:val="24"/>
                <w:szCs w:val="24"/>
                <w:lang w:eastAsia="cs-CZ"/>
              </w:rPr>
              <w:br/>
              <w:t>ca. 1925: Alpina, 1719</w:t>
            </w:r>
            <w:r w:rsidRPr="00967BEF">
              <w:rPr>
                <w:rFonts w:ascii="Times New Roman" w:eastAsia="Times New Roman" w:hAnsi="Times New Roman"/>
                <w:color w:val="000000"/>
                <w:sz w:val="24"/>
                <w:szCs w:val="24"/>
                <w:lang w:eastAsia="cs-CZ"/>
              </w:rPr>
              <w:br/>
              <w:t>(Alpina 1719)</w:t>
            </w:r>
          </w:p>
        </w:tc>
      </w:tr>
    </w:tbl>
    <w:p w:rsidR="00CF6641" w:rsidRDefault="00BA6C20">
      <w:r>
        <w:t>Nadíno ročník</w:t>
      </w:r>
      <w:r w:rsidR="00CF6641">
        <w:t xml:space="preserve"> 1925, navíc s microregulací.</w:t>
      </w:r>
    </w:p>
    <w:tbl>
      <w:tblPr>
        <w:tblW w:w="13335" w:type="dxa"/>
        <w:tblCellSpacing w:w="0" w:type="dxa"/>
        <w:tblCellMar>
          <w:top w:w="150" w:type="dxa"/>
          <w:left w:w="150" w:type="dxa"/>
          <w:bottom w:w="150" w:type="dxa"/>
          <w:right w:w="150" w:type="dxa"/>
        </w:tblCellMar>
        <w:tblLook w:val="04A0"/>
      </w:tblPr>
      <w:tblGrid>
        <w:gridCol w:w="9105"/>
        <w:gridCol w:w="4230"/>
      </w:tblGrid>
      <w:tr w:rsidR="00CF6641" w:rsidRPr="00CF6641" w:rsidTr="004F43B2">
        <w:trPr>
          <w:trHeight w:val="5250"/>
          <w:tblCellSpacing w:w="0" w:type="dxa"/>
        </w:trPr>
        <w:tc>
          <w:tcPr>
            <w:tcW w:w="9105" w:type="dxa"/>
            <w:hideMark/>
          </w:tcPr>
          <w:tbl>
            <w:tblPr>
              <w:tblW w:w="8805" w:type="dxa"/>
              <w:tblCellSpacing w:w="0" w:type="dxa"/>
              <w:tblCellMar>
                <w:left w:w="0" w:type="dxa"/>
                <w:right w:w="0" w:type="dxa"/>
              </w:tblCellMar>
              <w:tblLook w:val="04A0"/>
            </w:tblPr>
            <w:tblGrid>
              <w:gridCol w:w="8805"/>
            </w:tblGrid>
            <w:tr w:rsidR="00CF6641" w:rsidRPr="00CF6641">
              <w:trPr>
                <w:tblCellSpacing w:w="0" w:type="dxa"/>
              </w:trPr>
              <w:tc>
                <w:tcPr>
                  <w:tcW w:w="0" w:type="auto"/>
                  <w:hideMark/>
                </w:tcPr>
                <w:p w:rsidR="00CF6641" w:rsidRPr="00CF6641" w:rsidRDefault="00CF6641" w:rsidP="00CF6641">
                  <w:pPr>
                    <w:spacing w:before="100" w:beforeAutospacing="1" w:after="100" w:afterAutospacing="1" w:line="240" w:lineRule="auto"/>
                    <w:outlineLvl w:val="2"/>
                    <w:rPr>
                      <w:rFonts w:ascii="Verdana" w:eastAsia="Times New Roman" w:hAnsi="Verdana"/>
                      <w:b/>
                      <w:bCs/>
                      <w:color w:val="ADAFB0"/>
                      <w:sz w:val="20"/>
                      <w:szCs w:val="20"/>
                      <w:lang w:eastAsia="cs-CZ"/>
                    </w:rPr>
                  </w:pPr>
                </w:p>
              </w:tc>
            </w:tr>
          </w:tbl>
          <w:p w:rsidR="00CF6641" w:rsidRPr="00CF6641" w:rsidRDefault="00CF6641" w:rsidP="00CF6641">
            <w:pPr>
              <w:spacing w:after="0" w:line="240" w:lineRule="auto"/>
              <w:rPr>
                <w:rFonts w:ascii="Verdana" w:eastAsia="Times New Roman" w:hAnsi="Verdana"/>
                <w:vanish/>
                <w:color w:val="000000"/>
                <w:sz w:val="17"/>
                <w:szCs w:val="17"/>
                <w:lang w:eastAsia="cs-CZ"/>
              </w:rPr>
            </w:pPr>
          </w:p>
          <w:tbl>
            <w:tblPr>
              <w:tblW w:w="5000" w:type="pct"/>
              <w:tblCellSpacing w:w="0" w:type="dxa"/>
              <w:tblBorders>
                <w:right w:val="single" w:sz="6" w:space="0" w:color="C0C0C0"/>
              </w:tblBorders>
              <w:tblCellMar>
                <w:left w:w="0" w:type="dxa"/>
                <w:right w:w="150" w:type="dxa"/>
              </w:tblCellMar>
              <w:tblLook w:val="04A0"/>
            </w:tblPr>
            <w:tblGrid>
              <w:gridCol w:w="4843"/>
              <w:gridCol w:w="3954"/>
            </w:tblGrid>
            <w:tr w:rsidR="00CF6641" w:rsidRPr="00CF6641">
              <w:trPr>
                <w:tblCellSpacing w:w="0" w:type="dxa"/>
              </w:trPr>
              <w:tc>
                <w:tcPr>
                  <w:tcW w:w="0" w:type="auto"/>
                  <w:hideMark/>
                </w:tcPr>
                <w:p w:rsidR="00CF6641" w:rsidRDefault="00CF6641" w:rsidP="00CF6641">
                  <w:pPr>
                    <w:spacing w:after="0" w:line="240" w:lineRule="auto"/>
                    <w:rPr>
                      <w:rFonts w:ascii="Verdana" w:eastAsia="Times New Roman" w:hAnsi="Verdana"/>
                      <w:b/>
                      <w:bCs/>
                      <w:color w:val="ADAFB0"/>
                      <w:sz w:val="21"/>
                      <w:szCs w:val="21"/>
                      <w:lang w:eastAsia="cs-CZ"/>
                    </w:rPr>
                  </w:pPr>
                  <w:r w:rsidRPr="00CF6641">
                    <w:rPr>
                      <w:rFonts w:ascii="Verdana" w:eastAsia="Times New Roman" w:hAnsi="Verdana"/>
                      <w:b/>
                      <w:bCs/>
                      <w:color w:val="ADAFB0"/>
                      <w:sz w:val="21"/>
                      <w:szCs w:val="21"/>
                      <w:lang w:eastAsia="cs-CZ"/>
                    </w:rPr>
                    <w:t>History - Since 1883</w:t>
                  </w:r>
                </w:p>
                <w:p w:rsidR="00CF6641" w:rsidRPr="00CF6641" w:rsidRDefault="00CF6641" w:rsidP="00CF6641">
                  <w:pPr>
                    <w:spacing w:after="0" w:line="240" w:lineRule="auto"/>
                    <w:rPr>
                      <w:rFonts w:ascii="Verdana" w:eastAsia="Times New Roman" w:hAnsi="Verdana"/>
                      <w:b/>
                      <w:bCs/>
                      <w:color w:val="ADAFB0"/>
                      <w:sz w:val="21"/>
                      <w:szCs w:val="21"/>
                      <w:lang w:eastAsia="cs-CZ"/>
                    </w:rPr>
                  </w:pPr>
                </w:p>
              </w:tc>
              <w:tc>
                <w:tcPr>
                  <w:tcW w:w="0" w:type="auto"/>
                  <w:tcMar>
                    <w:top w:w="75" w:type="dxa"/>
                    <w:left w:w="0" w:type="dxa"/>
                    <w:bottom w:w="0" w:type="dxa"/>
                    <w:right w:w="150" w:type="dxa"/>
                  </w:tcMar>
                  <w:hideMark/>
                </w:tcPr>
                <w:p w:rsidR="00CF6641" w:rsidRPr="00CF6641" w:rsidRDefault="00CF6641" w:rsidP="00CF6641">
                  <w:pPr>
                    <w:spacing w:after="0" w:line="240" w:lineRule="auto"/>
                    <w:jc w:val="right"/>
                    <w:rPr>
                      <w:rFonts w:ascii="Verdana" w:eastAsia="Times New Roman" w:hAnsi="Verdana"/>
                      <w:color w:val="000000"/>
                      <w:sz w:val="17"/>
                      <w:szCs w:val="17"/>
                      <w:lang w:eastAsia="cs-CZ"/>
                    </w:rPr>
                  </w:pPr>
                  <w:hyperlink r:id="rId8" w:tgtFrame="_self" w:history="1">
                    <w:r w:rsidRPr="00CF6641">
                      <w:rPr>
                        <w:rFonts w:ascii="Verdana" w:eastAsia="Times New Roman" w:hAnsi="Verdana"/>
                        <w:color w:val="000000"/>
                        <w:sz w:val="17"/>
                        <w:u w:val="single"/>
                        <w:lang w:eastAsia="cs-CZ"/>
                      </w:rPr>
                      <w:t>Union Horlogère</w:t>
                    </w:r>
                  </w:hyperlink>
                  <w:r w:rsidRPr="00CF6641">
                    <w:rPr>
                      <w:rFonts w:ascii="Verdana" w:eastAsia="Times New Roman" w:hAnsi="Verdana"/>
                      <w:color w:val="000000"/>
                      <w:sz w:val="17"/>
                      <w:szCs w:val="17"/>
                      <w:lang w:eastAsia="cs-CZ"/>
                    </w:rPr>
                    <w:t xml:space="preserve">      </w:t>
                  </w:r>
                </w:p>
              </w:tc>
            </w:tr>
            <w:tr w:rsidR="00CF6641" w:rsidRPr="00CF6641">
              <w:trPr>
                <w:tblCellSpacing w:w="0" w:type="dxa"/>
              </w:trPr>
              <w:tc>
                <w:tcPr>
                  <w:tcW w:w="0" w:type="auto"/>
                  <w:gridSpan w:val="2"/>
                  <w:hideMark/>
                </w:tcPr>
                <w:p w:rsidR="00CF6641" w:rsidRPr="00CF6641" w:rsidRDefault="00CF6641" w:rsidP="00CF6641">
                  <w:pPr>
                    <w:spacing w:before="100" w:beforeAutospacing="1" w:after="100" w:afterAutospacing="1" w:line="240" w:lineRule="auto"/>
                    <w:rPr>
                      <w:rFonts w:ascii="Verdana" w:eastAsia="Times New Roman" w:hAnsi="Verdana"/>
                      <w:i/>
                      <w:iCs/>
                      <w:color w:val="000000"/>
                      <w:sz w:val="17"/>
                      <w:szCs w:val="17"/>
                      <w:lang w:eastAsia="cs-CZ"/>
                    </w:rPr>
                  </w:pPr>
                  <w:r w:rsidRPr="00CF6641">
                    <w:rPr>
                      <w:rFonts w:ascii="Verdana" w:eastAsia="Times New Roman" w:hAnsi="Verdana"/>
                      <w:i/>
                      <w:iCs/>
                      <w:color w:val="000000"/>
                      <w:sz w:val="17"/>
                      <w:szCs w:val="17"/>
                      <w:lang w:eastAsia="cs-CZ"/>
                    </w:rPr>
                    <w:t>We look back to 1883, the founding year of the association of manufacturers and retailers of watches that evolved into Alpina. Its members called themselves affectionately the "Alpinists", and they all shared the same target: the success of the Alpina watch.</w:t>
                  </w:r>
                </w:p>
                <w:p w:rsidR="00CF6641" w:rsidRPr="00CF6641" w:rsidRDefault="00CF6641" w:rsidP="00CF6641">
                  <w:pPr>
                    <w:spacing w:before="100" w:beforeAutospacing="1" w:after="100" w:afterAutospacing="1" w:line="240" w:lineRule="auto"/>
                    <w:rPr>
                      <w:rFonts w:ascii="Verdana" w:eastAsia="Times New Roman" w:hAnsi="Verdana"/>
                      <w:color w:val="000000"/>
                      <w:sz w:val="17"/>
                      <w:szCs w:val="17"/>
                      <w:lang w:eastAsia="cs-CZ"/>
                    </w:rPr>
                  </w:pPr>
                  <w:r w:rsidRPr="00CF6641">
                    <w:rPr>
                      <w:rFonts w:ascii="Verdana" w:eastAsia="Times New Roman" w:hAnsi="Verdana"/>
                      <w:color w:val="000000"/>
                      <w:sz w:val="17"/>
                      <w:szCs w:val="17"/>
                      <w:lang w:eastAsia="cs-CZ"/>
                    </w:rPr>
                    <w:t>The first horological cooperation</w:t>
                  </w:r>
                  <w:r w:rsidRPr="00CF6641">
                    <w:rPr>
                      <w:rFonts w:ascii="Verdana" w:eastAsia="Times New Roman" w:hAnsi="Verdana"/>
                      <w:color w:val="000000"/>
                      <w:sz w:val="17"/>
                      <w:szCs w:val="17"/>
                      <w:lang w:eastAsia="cs-CZ"/>
                    </w:rPr>
                    <w:br/>
                    <w:t>Everything started in 1883 when Gottlieb Hauser, watchmaker in Winterthur, founded the Swiss Watchmakers Corporation ("Corporation d'Horlogers Suisse"). A number of watchmakers joined to purchase watch components and organized their manufacturing. Quickly, the new concept gained acceptance. Together with qualified manufactures, the Association started to develop its own calibres and to enlarge its distribution network. Ebauches (the base of a calibre) were produced by the Alpina Ebauche Factory in Geneva, owned by Duret &amp; Colonnaz, which played also an important role in the construction of the first Alpina calibres. Final steps in the manufacture of the calibres were performed in Bienne, the place of the head quarters of the Association as of 1890. Success was swift and representations were set up in Germany as well as in East and Northern Europe. In 1901, the name "Alpina" was registered as a trademark at the same time; it would only appear on the dials of high-end watches. From the beginning, Alpina watches were manufactured with high quality components, amongst others Brequet spirals, balance wheels with gold screws and heavy gold cases.</w:t>
                  </w:r>
                </w:p>
                <w:p w:rsidR="00CF6641" w:rsidRPr="00CF6641" w:rsidRDefault="00CF6641" w:rsidP="00CF6641">
                  <w:pPr>
                    <w:spacing w:before="100" w:beforeAutospacing="1" w:after="100" w:afterAutospacing="1" w:line="240" w:lineRule="auto"/>
                    <w:rPr>
                      <w:rFonts w:ascii="Verdana" w:eastAsia="Times New Roman" w:hAnsi="Verdana"/>
                      <w:color w:val="000000"/>
                      <w:sz w:val="17"/>
                      <w:szCs w:val="17"/>
                      <w:lang w:eastAsia="cs-CZ"/>
                    </w:rPr>
                  </w:pPr>
                  <w:r w:rsidRPr="00CF6641">
                    <w:rPr>
                      <w:rFonts w:ascii="Verdana" w:eastAsia="Times New Roman" w:hAnsi="Verdana"/>
                      <w:color w:val="000000"/>
                      <w:sz w:val="17"/>
                      <w:szCs w:val="17"/>
                      <w:lang w:eastAsia="cs-CZ"/>
                    </w:rPr>
                    <w:t>Alpina Glashütte 1909-1922</w:t>
                  </w:r>
                  <w:r w:rsidRPr="00CF6641">
                    <w:rPr>
                      <w:rFonts w:ascii="Verdana" w:eastAsia="Times New Roman" w:hAnsi="Verdana"/>
                      <w:color w:val="000000"/>
                      <w:sz w:val="17"/>
                      <w:szCs w:val="17"/>
                      <w:lang w:eastAsia="cs-CZ"/>
                    </w:rPr>
                    <w:br/>
                    <w:t>In order also to participate in the German watch-manufacturing base, Alpina Union Horlogère founded the "Präcisions-Uhrenfabrik Alpina" in Glashütte in 1909. The Union's factories were now located in Geneva, Bienne, Besançon and Glashütte. In 1912, the first Alpina Chronometer Glashütte was finalized: it was equipped with an Alpina manufactured chronometer ebauche with a Glashütte escapement instead of the typical Swiss anchor escapement. The dial of these watches red "Präcisions-Uhrenfabrik Alpina Glashütte i.S.". Another model was created in 1913: it was a 21'' marine watch, which was purchased by the German navy at the time. Alpina Glashütte watches gained ground and competed directly with those of Lange &amp; Söhne. In 1913, Lange &amp; Söhne felt threatened and started a court case to try to stop Alpina on the ground that not all parts were manufactured in Glashütte. The court case dragged on for years but was finally proven without merit. It was dropped in favor of Alpina in 1915. Meanwhile World War I had started and had a stifling effect on the "Präcisions-Uhrenfabrik Alpina" in Glashütte. Parts could hardly be send to the factory from Switzerland due to war import restrictions. Further, there were major capital flow restrictions.</w:t>
                  </w:r>
                </w:p>
                <w:p w:rsidR="00CF6641" w:rsidRPr="00CF6641" w:rsidRDefault="00CF6641" w:rsidP="00CF6641">
                  <w:pPr>
                    <w:spacing w:before="100" w:beforeAutospacing="1" w:after="100" w:afterAutospacing="1" w:line="240" w:lineRule="auto"/>
                    <w:rPr>
                      <w:rFonts w:ascii="Verdana" w:eastAsia="Times New Roman" w:hAnsi="Verdana"/>
                      <w:color w:val="000000"/>
                      <w:sz w:val="17"/>
                      <w:szCs w:val="17"/>
                      <w:lang w:eastAsia="cs-CZ"/>
                    </w:rPr>
                  </w:pPr>
                  <w:r w:rsidRPr="00CF6641">
                    <w:rPr>
                      <w:rFonts w:ascii="Verdana" w:eastAsia="Times New Roman" w:hAnsi="Verdana"/>
                      <w:color w:val="000000"/>
                      <w:sz w:val="17"/>
                      <w:szCs w:val="17"/>
                      <w:lang w:eastAsia="cs-CZ"/>
                    </w:rPr>
                    <w:t>The First World War</w:t>
                  </w:r>
                  <w:r w:rsidRPr="00CF6641">
                    <w:rPr>
                      <w:rFonts w:ascii="Verdana" w:eastAsia="Times New Roman" w:hAnsi="Verdana"/>
                      <w:color w:val="000000"/>
                      <w:sz w:val="17"/>
                      <w:szCs w:val="17"/>
                      <w:lang w:eastAsia="cs-CZ"/>
                    </w:rPr>
                    <w:br/>
                    <w:t>During the First World War, the Allied Forces were obviously not pleased with business relationships between Switzerland and Germany. The Alpina Glashütte factory had experienced already major problems but also the relationships between the Swiss Alpina factories and their customers in Germany were under strong pressure. Finally in 1917, towards the end of the first World War, the Association "Union Horlogère" was dissolved formally. Two separate anonymous societies were incorporated: the Union Horlogère SA in Bienne, Switzerland and the Alpina Deutsche Uhrmacher-Genossenschaft G.m.b.H. in Berlin, Germany. The branch, which was in charge of Swiss members, incorporated itself as yet a third separate association in the name of "Alpina Association des Horlogers Suisses". Activities of the companies surged dramatically after the First World War. Alpina watches were being sold with great success in 2000 retailers around Europe, from Lisbon to Copenhagen to Moscow.</w:t>
                  </w:r>
                </w:p>
              </w:tc>
            </w:tr>
          </w:tbl>
          <w:p w:rsidR="00CF6641" w:rsidRPr="00CF6641" w:rsidRDefault="004F43B2" w:rsidP="00CF6641">
            <w:pPr>
              <w:spacing w:after="0" w:line="240" w:lineRule="auto"/>
              <w:rPr>
                <w:rFonts w:ascii="Verdana" w:eastAsia="Times New Roman" w:hAnsi="Verdana"/>
                <w:color w:val="000000"/>
                <w:sz w:val="17"/>
                <w:szCs w:val="17"/>
                <w:lang w:eastAsia="cs-CZ"/>
              </w:rPr>
            </w:pPr>
            <w:r>
              <w:rPr>
                <w:rFonts w:ascii="Verdana" w:eastAsia="Times New Roman" w:hAnsi="Verdana"/>
                <w:noProof/>
                <w:color w:val="000000"/>
                <w:sz w:val="17"/>
                <w:szCs w:val="17"/>
                <w:lang w:eastAsia="cs-CZ"/>
              </w:rPr>
              <w:lastRenderedPageBreak/>
              <w:drawing>
                <wp:inline distT="0" distB="0" distL="0" distR="0">
                  <wp:extent cx="2324100" cy="2181225"/>
                  <wp:effectExtent l="19050" t="0" r="0" b="0"/>
                  <wp:docPr id="10" name="obrázek 10" descr="Mechanis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chanisme2.jpg"/>
                          <pic:cNvPicPr>
                            <a:picLocks noChangeAspect="1" noChangeArrowheads="1"/>
                          </pic:cNvPicPr>
                        </pic:nvPicPr>
                        <pic:blipFill>
                          <a:blip r:embed="rId9" cstate="print"/>
                          <a:srcRect/>
                          <a:stretch>
                            <a:fillRect/>
                          </a:stretch>
                        </pic:blipFill>
                        <pic:spPr bwMode="auto">
                          <a:xfrm>
                            <a:off x="0" y="0"/>
                            <a:ext cx="2324100" cy="2181225"/>
                          </a:xfrm>
                          <a:prstGeom prst="rect">
                            <a:avLst/>
                          </a:prstGeom>
                          <a:noFill/>
                          <a:ln w="9525">
                            <a:noFill/>
                            <a:miter lim="800000"/>
                            <a:headEnd/>
                            <a:tailEnd/>
                          </a:ln>
                        </pic:spPr>
                      </pic:pic>
                    </a:graphicData>
                  </a:graphic>
                </wp:inline>
              </w:drawing>
            </w:r>
          </w:p>
        </w:tc>
        <w:tc>
          <w:tcPr>
            <w:tcW w:w="4230" w:type="dxa"/>
            <w:hideMark/>
          </w:tcPr>
          <w:tbl>
            <w:tblPr>
              <w:tblW w:w="3930" w:type="dxa"/>
              <w:tblCellSpacing w:w="0" w:type="dxa"/>
              <w:tblCellMar>
                <w:left w:w="0" w:type="dxa"/>
                <w:right w:w="0" w:type="dxa"/>
              </w:tblCellMar>
              <w:tblLook w:val="04A0"/>
            </w:tblPr>
            <w:tblGrid>
              <w:gridCol w:w="3930"/>
            </w:tblGrid>
            <w:tr w:rsidR="00CF6641" w:rsidRPr="00CF6641">
              <w:trPr>
                <w:tblCellSpacing w:w="0" w:type="dxa"/>
              </w:trPr>
              <w:tc>
                <w:tcPr>
                  <w:tcW w:w="0" w:type="auto"/>
                  <w:hideMark/>
                </w:tcPr>
                <w:p w:rsidR="00CF6641" w:rsidRPr="00CF6641" w:rsidRDefault="004F43B2" w:rsidP="004F43B2">
                  <w:pPr>
                    <w:spacing w:after="0" w:line="240" w:lineRule="auto"/>
                    <w:jc w:val="center"/>
                    <w:rPr>
                      <w:rFonts w:ascii="Verdana" w:eastAsia="Times New Roman" w:hAnsi="Verdana"/>
                      <w:color w:val="000000"/>
                      <w:sz w:val="17"/>
                      <w:szCs w:val="17"/>
                      <w:lang w:eastAsia="cs-CZ"/>
                    </w:rPr>
                  </w:pPr>
                  <w:r>
                    <w:rPr>
                      <w:rFonts w:ascii="Verdana" w:eastAsia="Times New Roman" w:hAnsi="Verdana"/>
                      <w:noProof/>
                      <w:color w:val="000000"/>
                      <w:sz w:val="17"/>
                      <w:szCs w:val="17"/>
                      <w:lang w:eastAsia="cs-CZ"/>
                    </w:rPr>
                    <w:lastRenderedPageBreak/>
                    <w:drawing>
                      <wp:inline distT="0" distB="0" distL="0" distR="0">
                        <wp:extent cx="1905000" cy="3067050"/>
                        <wp:effectExtent l="19050" t="0" r="0" b="0"/>
                        <wp:docPr id="3" name="obrázek 3" descr="Haus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user2.jpg"/>
                                <pic:cNvPicPr>
                                  <a:picLocks noChangeAspect="1" noChangeArrowheads="1"/>
                                </pic:cNvPicPr>
                              </pic:nvPicPr>
                              <pic:blipFill>
                                <a:blip r:embed="rId10" cstate="print"/>
                                <a:srcRect/>
                                <a:stretch>
                                  <a:fillRect/>
                                </a:stretch>
                              </pic:blipFill>
                              <pic:spPr bwMode="auto">
                                <a:xfrm>
                                  <a:off x="0" y="0"/>
                                  <a:ext cx="1905000" cy="3067050"/>
                                </a:xfrm>
                                <a:prstGeom prst="rect">
                                  <a:avLst/>
                                </a:prstGeom>
                                <a:noFill/>
                                <a:ln w="9525">
                                  <a:noFill/>
                                  <a:miter lim="800000"/>
                                  <a:headEnd/>
                                  <a:tailEnd/>
                                </a:ln>
                              </pic:spPr>
                            </pic:pic>
                          </a:graphicData>
                        </a:graphic>
                      </wp:inline>
                    </w:drawing>
                  </w:r>
                </w:p>
              </w:tc>
            </w:tr>
          </w:tbl>
          <w:p w:rsidR="00CF6641" w:rsidRPr="00CF6641" w:rsidRDefault="00CF6641" w:rsidP="00CF6641">
            <w:pPr>
              <w:spacing w:after="0" w:line="240" w:lineRule="auto"/>
              <w:rPr>
                <w:rFonts w:ascii="Verdana" w:eastAsia="Times New Roman" w:hAnsi="Verdana"/>
                <w:color w:val="000000"/>
                <w:sz w:val="17"/>
                <w:szCs w:val="17"/>
                <w:lang w:eastAsia="cs-CZ"/>
              </w:rPr>
            </w:pPr>
          </w:p>
        </w:tc>
      </w:tr>
    </w:tbl>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67BEF"/>
    <w:rsid w:val="002F33BA"/>
    <w:rsid w:val="004F43B2"/>
    <w:rsid w:val="007222B8"/>
    <w:rsid w:val="0074556C"/>
    <w:rsid w:val="009429C4"/>
    <w:rsid w:val="00967BEF"/>
    <w:rsid w:val="00BA6C20"/>
    <w:rsid w:val="00CF66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pPr>
      <w:spacing w:after="200" w:line="276" w:lineRule="auto"/>
    </w:pPr>
    <w:rPr>
      <w:sz w:val="22"/>
      <w:szCs w:val="22"/>
      <w:lang w:eastAsia="en-US"/>
    </w:rPr>
  </w:style>
  <w:style w:type="paragraph" w:styleId="Nadpis3">
    <w:name w:val="heading 3"/>
    <w:basedOn w:val="Normln"/>
    <w:link w:val="Nadpis3Char"/>
    <w:uiPriority w:val="9"/>
    <w:qFormat/>
    <w:rsid w:val="00CF6641"/>
    <w:pPr>
      <w:spacing w:before="100" w:beforeAutospacing="1" w:after="100" w:afterAutospacing="1" w:line="240" w:lineRule="auto"/>
      <w:outlineLvl w:val="2"/>
    </w:pPr>
    <w:rPr>
      <w:rFonts w:ascii="Times New Roman" w:eastAsia="Times New Roman" w:hAnsi="Times New Roman"/>
      <w:b/>
      <w:bCs/>
      <w:color w:val="ADAFB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67BEF"/>
    <w:pPr>
      <w:spacing w:before="100" w:beforeAutospacing="1" w:after="100" w:afterAutospacing="1" w:line="240" w:lineRule="auto"/>
    </w:pPr>
    <w:rPr>
      <w:rFonts w:ascii="Times New Roman" w:eastAsia="Times New Roman" w:hAnsi="Times New Roman"/>
      <w:color w:val="000000"/>
      <w:sz w:val="24"/>
      <w:szCs w:val="24"/>
      <w:lang w:eastAsia="cs-CZ"/>
    </w:rPr>
  </w:style>
  <w:style w:type="paragraph" w:styleId="Textbubliny">
    <w:name w:val="Balloon Text"/>
    <w:basedOn w:val="Normln"/>
    <w:link w:val="TextbublinyChar"/>
    <w:uiPriority w:val="99"/>
    <w:semiHidden/>
    <w:unhideWhenUsed/>
    <w:rsid w:val="00967B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7BEF"/>
    <w:rPr>
      <w:rFonts w:ascii="Tahoma" w:hAnsi="Tahoma" w:cs="Tahoma"/>
      <w:sz w:val="16"/>
      <w:szCs w:val="16"/>
    </w:rPr>
  </w:style>
  <w:style w:type="character" w:customStyle="1" w:styleId="Nadpis3Char">
    <w:name w:val="Nadpis 3 Char"/>
    <w:basedOn w:val="Standardnpsmoodstavce"/>
    <w:link w:val="Nadpis3"/>
    <w:uiPriority w:val="9"/>
    <w:rsid w:val="00CF6641"/>
    <w:rPr>
      <w:rFonts w:ascii="Times New Roman" w:eastAsia="Times New Roman" w:hAnsi="Times New Roman"/>
      <w:b/>
      <w:bCs/>
      <w:color w:val="ADAFB0"/>
    </w:rPr>
  </w:style>
  <w:style w:type="paragraph" w:customStyle="1" w:styleId="inleiding">
    <w:name w:val="inleiding"/>
    <w:basedOn w:val="Normln"/>
    <w:rsid w:val="00CF6641"/>
    <w:pPr>
      <w:spacing w:before="100" w:beforeAutospacing="1" w:after="100" w:afterAutospacing="1" w:line="240" w:lineRule="auto"/>
    </w:pPr>
    <w:rPr>
      <w:rFonts w:ascii="Times New Roman" w:eastAsia="Times New Roman" w:hAnsi="Times New Roman"/>
      <w:i/>
      <w:iCs/>
      <w:sz w:val="24"/>
      <w:szCs w:val="24"/>
      <w:lang w:eastAsia="cs-CZ"/>
    </w:rPr>
  </w:style>
  <w:style w:type="character" w:styleId="Hypertextovodkaz">
    <w:name w:val="Hyperlink"/>
    <w:basedOn w:val="Standardnpsmoodstavce"/>
    <w:uiPriority w:val="99"/>
    <w:semiHidden/>
    <w:unhideWhenUsed/>
    <w:rsid w:val="00CF6641"/>
    <w:rPr>
      <w:color w:val="0000FF"/>
      <w:u w:val="single"/>
    </w:rPr>
  </w:style>
</w:styles>
</file>

<file path=word/webSettings.xml><?xml version="1.0" encoding="utf-8"?>
<w:webSettings xmlns:r="http://schemas.openxmlformats.org/officeDocument/2006/relationships" xmlns:w="http://schemas.openxmlformats.org/wordprocessingml/2006/main">
  <w:divs>
    <w:div w:id="85265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pina-watches.com/corporate/Company_Details.asp?key=2&amp;sub=21&amp;id=4&amp;koppel=1"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nfft.de/bidfun/katb/2uswk/Alpina_1719-1.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www.ranfft.de/bidfun/katb/2uswk/Alpina_1719.jpg" TargetMode="External"/><Relationship Id="rId9"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613</Words>
  <Characters>3618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4223</CharactersWithSpaces>
  <SharedDoc>false</SharedDoc>
  <HLinks>
    <vt:vector size="18" baseType="variant">
      <vt:variant>
        <vt:i4>5570659</vt:i4>
      </vt:variant>
      <vt:variant>
        <vt:i4>6</vt:i4>
      </vt:variant>
      <vt:variant>
        <vt:i4>0</vt:i4>
      </vt:variant>
      <vt:variant>
        <vt:i4>5</vt:i4>
      </vt:variant>
      <vt:variant>
        <vt:lpwstr>http://www.alpina-watches.com/corporate/Company_Details.asp?key=2&amp;sub=21&amp;id=4&amp;koppel=1</vt:lpwstr>
      </vt:variant>
      <vt:variant>
        <vt:lpwstr/>
      </vt:variant>
      <vt:variant>
        <vt:i4>8192003</vt:i4>
      </vt:variant>
      <vt:variant>
        <vt:i4>3</vt:i4>
      </vt:variant>
      <vt:variant>
        <vt:i4>0</vt:i4>
      </vt:variant>
      <vt:variant>
        <vt:i4>5</vt:i4>
      </vt:variant>
      <vt:variant>
        <vt:lpwstr>http://www.ranfft.de/bidfun/katb/2uswk/Alpina_1719-1.jpg</vt:lpwstr>
      </vt:variant>
      <vt:variant>
        <vt:lpwstr/>
      </vt:variant>
      <vt:variant>
        <vt:i4>4980782</vt:i4>
      </vt:variant>
      <vt:variant>
        <vt:i4>0</vt:i4>
      </vt:variant>
      <vt:variant>
        <vt:i4>0</vt:i4>
      </vt:variant>
      <vt:variant>
        <vt:i4>5</vt:i4>
      </vt:variant>
      <vt:variant>
        <vt:lpwstr>http://www.ranfft.de/bidfun/katb/2uswk/Alpina_1719.jpg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2</cp:revision>
  <dcterms:created xsi:type="dcterms:W3CDTF">2012-11-01T13:43:00Z</dcterms:created>
  <dcterms:modified xsi:type="dcterms:W3CDTF">2012-11-01T13:43:00Z</dcterms:modified>
</cp:coreProperties>
</file>