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tblCellSpacing w:w="15" w:type="dxa"/>
        <w:tblCellMar>
          <w:left w:w="0" w:type="dxa"/>
          <w:right w:w="15" w:type="dxa"/>
        </w:tblCellMar>
        <w:tblLook w:val="04A0"/>
      </w:tblPr>
      <w:tblGrid>
        <w:gridCol w:w="8376"/>
        <w:gridCol w:w="320"/>
        <w:gridCol w:w="335"/>
      </w:tblGrid>
      <w:tr w:rsidR="002E25F2" w:rsidRPr="002E25F2">
        <w:trPr>
          <w:tblCellSpacing w:w="15" w:type="dxa"/>
        </w:trPr>
        <w:tc>
          <w:tcPr>
            <w:tcW w:w="5000" w:type="pct"/>
            <w:tcMar>
              <w:top w:w="0" w:type="dxa"/>
              <w:left w:w="68" w:type="dxa"/>
              <w:bottom w:w="0" w:type="dxa"/>
              <w:right w:w="15" w:type="dxa"/>
            </w:tcMar>
            <w:vAlign w:val="center"/>
            <w:hideMark/>
          </w:tcPr>
          <w:p w:rsidR="002E25F2" w:rsidRPr="002E25F2" w:rsidRDefault="00852E34" w:rsidP="002E25F2">
            <w:pPr>
              <w:spacing w:after="0" w:line="360" w:lineRule="auto"/>
              <w:rPr>
                <w:rFonts w:ascii="Georgia" w:eastAsia="Times New Roman" w:hAnsi="Georgia" w:cs="Arial"/>
                <w:b/>
                <w:bCs/>
                <w:color w:val="8A4A20"/>
                <w:sz w:val="27"/>
                <w:szCs w:val="27"/>
                <w:lang w:eastAsia="cs-CZ"/>
              </w:rPr>
            </w:pPr>
            <w:r>
              <w:rPr>
                <w:rFonts w:ascii="Georgia" w:eastAsia="Times New Roman" w:hAnsi="Georgia" w:cs="Arial"/>
                <w:b/>
                <w:bCs/>
                <w:color w:val="8A4A20"/>
                <w:sz w:val="27"/>
                <w:szCs w:val="27"/>
                <w:lang w:eastAsia="cs-CZ"/>
              </w:rPr>
              <w:t>Nástroje se</w:t>
            </w:r>
            <w:r w:rsidR="002E25F2" w:rsidRPr="002E25F2">
              <w:rPr>
                <w:rFonts w:ascii="Georgia" w:eastAsia="Times New Roman" w:hAnsi="Georgia" w:cs="Arial"/>
                <w:b/>
                <w:bCs/>
                <w:color w:val="8A4A20"/>
                <w:sz w:val="27"/>
                <w:szCs w:val="27"/>
                <w:lang w:eastAsia="cs-CZ"/>
              </w:rPr>
              <w:t xml:space="preserve"> značkou "Goldenberg" </w:t>
            </w:r>
          </w:p>
        </w:tc>
        <w:tc>
          <w:tcPr>
            <w:tcW w:w="5000" w:type="pct"/>
            <w:vAlign w:val="center"/>
            <w:hideMark/>
          </w:tcPr>
          <w:p w:rsidR="002E25F2" w:rsidRPr="002E25F2" w:rsidRDefault="002E25F2" w:rsidP="002E25F2">
            <w:pPr>
              <w:spacing w:after="0" w:line="360" w:lineRule="auto"/>
              <w:jc w:val="right"/>
              <w:rPr>
                <w:rFonts w:ascii="Arial" w:eastAsia="Times New Roman" w:hAnsi="Arial" w:cs="Arial"/>
                <w:color w:val="3E3F2F"/>
                <w:sz w:val="15"/>
                <w:szCs w:val="15"/>
                <w:lang w:eastAsia="cs-CZ"/>
              </w:rPr>
            </w:pPr>
            <w:r>
              <w:rPr>
                <w:rFonts w:ascii="Arial" w:eastAsia="Times New Roman" w:hAnsi="Arial" w:cs="Arial"/>
                <w:b/>
                <w:bCs/>
                <w:noProof/>
                <w:color w:val="994C11"/>
                <w:sz w:val="15"/>
                <w:szCs w:val="15"/>
                <w:lang w:eastAsia="cs-CZ"/>
              </w:rPr>
              <w:drawing>
                <wp:inline distT="0" distB="0" distL="0" distR="0">
                  <wp:extent cx="155575" cy="155575"/>
                  <wp:effectExtent l="19050" t="0" r="0" b="0"/>
                  <wp:docPr id="1" name="obrázek 1" descr="Tlačiť">
                    <a:hlinkClick xmlns:a="http://schemas.openxmlformats.org/drawingml/2006/main" r:id="rId4" tgtFrame="_blank" tooltip="Tlačiť"/>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4" tgtFrame="_blank" tooltip="Tlačiť"/>
                          </pic:cNvPr>
                          <pic:cNvPicPr>
                            <a:picLocks noChangeAspect="1" noChangeArrowheads="1"/>
                          </pic:cNvPicPr>
                        </pic:nvPicPr>
                        <pic:blipFill>
                          <a:blip r:embed="rId5"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c>
          <w:tcPr>
            <w:tcW w:w="5000" w:type="pct"/>
            <w:vAlign w:val="center"/>
            <w:hideMark/>
          </w:tcPr>
          <w:p w:rsidR="002E25F2" w:rsidRPr="002E25F2" w:rsidRDefault="002E25F2" w:rsidP="002E25F2">
            <w:pPr>
              <w:spacing w:after="0" w:line="360" w:lineRule="auto"/>
              <w:jc w:val="right"/>
              <w:rPr>
                <w:rFonts w:ascii="Arial" w:eastAsia="Times New Roman" w:hAnsi="Arial" w:cs="Arial"/>
                <w:color w:val="3E3F2F"/>
                <w:sz w:val="15"/>
                <w:szCs w:val="15"/>
                <w:lang w:eastAsia="cs-CZ"/>
              </w:rPr>
            </w:pPr>
            <w:r>
              <w:rPr>
                <w:rFonts w:ascii="Arial" w:eastAsia="Times New Roman" w:hAnsi="Arial" w:cs="Arial"/>
                <w:b/>
                <w:bCs/>
                <w:noProof/>
                <w:color w:val="994C11"/>
                <w:sz w:val="15"/>
                <w:szCs w:val="15"/>
                <w:lang w:eastAsia="cs-CZ"/>
              </w:rPr>
              <w:drawing>
                <wp:inline distT="0" distB="0" distL="0" distR="0">
                  <wp:extent cx="155575" cy="155575"/>
                  <wp:effectExtent l="19050" t="0" r="0" b="0"/>
                  <wp:docPr id="2" name="obrázek 2" descr="E-mail">
                    <a:hlinkClick xmlns:a="http://schemas.openxmlformats.org/drawingml/2006/main" r:id="rId6"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gtFrame="_blank" tooltip="E-mail"/>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bl>
    <w:p w:rsidR="002E25F2" w:rsidRPr="002E25F2" w:rsidRDefault="002E25F2" w:rsidP="002E25F2">
      <w:pPr>
        <w:spacing w:after="0" w:line="360" w:lineRule="auto"/>
        <w:rPr>
          <w:rFonts w:ascii="Arial" w:eastAsia="Times New Roman" w:hAnsi="Arial" w:cs="Arial"/>
          <w:vanish/>
          <w:color w:val="3E3F2F"/>
          <w:sz w:val="15"/>
          <w:szCs w:val="15"/>
          <w:lang w:eastAsia="cs-CZ"/>
        </w:rPr>
      </w:pPr>
    </w:p>
    <w:tbl>
      <w:tblPr>
        <w:tblW w:w="4900" w:type="pct"/>
        <w:tblCellSpacing w:w="15" w:type="dxa"/>
        <w:tblCellMar>
          <w:left w:w="0" w:type="dxa"/>
          <w:right w:w="15" w:type="dxa"/>
        </w:tblCellMar>
        <w:tblLook w:val="04A0"/>
      </w:tblPr>
      <w:tblGrid>
        <w:gridCol w:w="8964"/>
      </w:tblGrid>
      <w:tr w:rsidR="002E25F2" w:rsidRPr="002E25F2">
        <w:trPr>
          <w:tblCellSpacing w:w="15" w:type="dxa"/>
        </w:trPr>
        <w:tc>
          <w:tcPr>
            <w:tcW w:w="0" w:type="auto"/>
            <w:hideMark/>
          </w:tcPr>
          <w:p w:rsidR="002E25F2" w:rsidRPr="002E25F2" w:rsidRDefault="00A42698" w:rsidP="002E25F2">
            <w:pPr>
              <w:spacing w:after="0" w:line="360" w:lineRule="auto"/>
              <w:rPr>
                <w:rFonts w:ascii="Arial" w:eastAsia="Times New Roman" w:hAnsi="Arial" w:cs="Arial"/>
                <w:color w:val="3E3F2F"/>
                <w:sz w:val="15"/>
                <w:szCs w:val="15"/>
                <w:lang w:eastAsia="cs-CZ"/>
              </w:rPr>
            </w:pPr>
            <w:hyperlink r:id="rId8" w:tgtFrame="_blank" w:history="1">
              <w:r w:rsidR="002E25F2">
                <w:rPr>
                  <w:rFonts w:ascii="Arial" w:eastAsia="Times New Roman" w:hAnsi="Arial" w:cs="Arial"/>
                  <w:noProof/>
                  <w:color w:val="3E3F2F"/>
                  <w:sz w:val="15"/>
                  <w:szCs w:val="15"/>
                  <w:lang w:eastAsia="cs-CZ"/>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476375" cy="1104900"/>
                    <wp:effectExtent l="19050" t="0" r="9525" b="0"/>
                    <wp:wrapSquare wrapText="bothSides"/>
                    <wp:docPr id="15" name="obrázek 2" descr=" ">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8" tgtFrame="_blank"/>
                            </pic:cNvPr>
                            <pic:cNvPicPr>
                              <a:picLocks noChangeAspect="1" noChangeArrowheads="1"/>
                            </pic:cNvPicPr>
                          </pic:nvPicPr>
                          <pic:blipFill>
                            <a:blip r:embed="rId9" cstate="print"/>
                            <a:srcRect/>
                            <a:stretch>
                              <a:fillRect/>
                            </a:stretch>
                          </pic:blipFill>
                          <pic:spPr bwMode="auto">
                            <a:xfrm>
                              <a:off x="0" y="0"/>
                              <a:ext cx="1476375" cy="1104900"/>
                            </a:xfrm>
                            <a:prstGeom prst="rect">
                              <a:avLst/>
                            </a:prstGeom>
                            <a:noFill/>
                            <a:ln w="9525">
                              <a:noFill/>
                              <a:miter lim="800000"/>
                              <a:headEnd/>
                              <a:tailEnd/>
                            </a:ln>
                          </pic:spPr>
                        </pic:pic>
                      </a:graphicData>
                    </a:graphic>
                  </wp:anchor>
                </w:drawing>
              </w:r>
            </w:hyperlink>
            <w:r w:rsidR="002E25F2" w:rsidRPr="002E25F2">
              <w:rPr>
                <w:rFonts w:ascii="Arial" w:eastAsia="Times New Roman" w:hAnsi="Arial" w:cs="Arial"/>
                <w:b/>
                <w:bCs/>
                <w:color w:val="3E3F2F"/>
                <w:sz w:val="15"/>
                <w:szCs w:val="15"/>
                <w:lang w:eastAsia="cs-CZ"/>
              </w:rPr>
              <w:t>Nástroje ktoré sa na našom území v minulosti používali, niekedy pochádzajú zo vzdialenejších oblastí. Takýmito nástrojmi sú aj výrobky vyrábané pod textovým označením, alebo grafickou značkou "Goldenberg". Najčastejšie sa vyskytuje zobrazenie oka, menej  časté je zobrazenie grifa, včely, labute...</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b/>
                <w:bCs/>
                <w:color w:val="3E3F2F"/>
                <w:sz w:val="15"/>
                <w:szCs w:val="15"/>
                <w:lang w:eastAsia="cs-CZ"/>
              </w:rPr>
              <w:t>Goldenberg, Dorlisheim (Francúzsko)</w:t>
            </w:r>
            <w:r w:rsidRPr="002E25F2">
              <w:rPr>
                <w:rFonts w:ascii="Arial" w:eastAsia="Times New Roman" w:hAnsi="Arial" w:cs="Arial"/>
                <w:color w:val="3E3F2F"/>
                <w:sz w:val="15"/>
                <w:szCs w:val="15"/>
                <w:lang w:eastAsia="cs-CZ"/>
              </w:rPr>
              <w:br/>
              <w:t> </w:t>
            </w:r>
            <w:r w:rsidRPr="002E25F2">
              <w:rPr>
                <w:rFonts w:ascii="Arial" w:eastAsia="Times New Roman" w:hAnsi="Arial" w:cs="Arial"/>
                <w:color w:val="3E3F2F"/>
                <w:sz w:val="15"/>
                <w:szCs w:val="15"/>
                <w:lang w:eastAsia="cs-CZ"/>
              </w:rPr>
              <w:br/>
              <w:t>Jean-Guillaume Goldenberg (7.12.1778 - 18.2.1858), narodený v Bliedingshausene pri Remscheide, prišiel z politických dôvodov do Baerenthalu (Lotrinsko/Francúzsko). Tam viedol od roku 1826 železiarne, ktoré v roku 1818 kúpil Jacques Coulaux (Couleaux aîné et Cie). Prispel k rozvoju  železiarní, zaslúžil sa aj o zlepšenie zdravotného stavu obyvateľstva tým, že vysušil miestne močiare a zabránil komárom roznášať nebezpečné choroby.</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tbl>
            <w:tblPr>
              <w:tblW w:w="0" w:type="auto"/>
              <w:jc w:val="center"/>
              <w:tblCellSpacing w:w="15" w:type="dxa"/>
              <w:tblCellMar>
                <w:top w:w="15" w:type="dxa"/>
                <w:left w:w="15" w:type="dxa"/>
                <w:bottom w:w="15" w:type="dxa"/>
                <w:right w:w="15" w:type="dxa"/>
              </w:tblCellMar>
              <w:tblLook w:val="04A0"/>
            </w:tblPr>
            <w:tblGrid>
              <w:gridCol w:w="5975"/>
            </w:tblGrid>
            <w:tr w:rsidR="002E25F2" w:rsidRPr="002E25F2" w:rsidTr="002E25F2">
              <w:trPr>
                <w:tblCellSpacing w:w="15" w:type="dxa"/>
                <w:jc w:val="center"/>
              </w:trPr>
              <w:tc>
                <w:tcPr>
                  <w:tcW w:w="0" w:type="auto"/>
                  <w:vAlign w:val="center"/>
                  <w:hideMark/>
                </w:tcPr>
                <w:p w:rsidR="002E25F2" w:rsidRPr="002E25F2" w:rsidRDefault="002E25F2" w:rsidP="002E25F2">
                  <w:pPr>
                    <w:spacing w:after="0" w:line="360" w:lineRule="auto"/>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3717925" cy="2018665"/>
                        <wp:effectExtent l="19050" t="0" r="0" b="0"/>
                        <wp:docPr id="3" name="obrázek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0" cstate="print"/>
                                <a:srcRect/>
                                <a:stretch>
                                  <a:fillRect/>
                                </a:stretch>
                              </pic:blipFill>
                              <pic:spPr bwMode="auto">
                                <a:xfrm>
                                  <a:off x="0" y="0"/>
                                  <a:ext cx="3717925" cy="2018665"/>
                                </a:xfrm>
                                <a:prstGeom prst="rect">
                                  <a:avLst/>
                                </a:prstGeom>
                                <a:noFill/>
                                <a:ln w="9525">
                                  <a:noFill/>
                                  <a:miter lim="800000"/>
                                  <a:headEnd/>
                                  <a:tailEnd/>
                                </a:ln>
                              </pic:spPr>
                            </pic:pic>
                          </a:graphicData>
                        </a:graphic>
                      </wp:inline>
                    </w:drawing>
                  </w:r>
                </w:p>
              </w:tc>
            </w:tr>
          </w:tbl>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sidRPr="002E25F2">
              <w:rPr>
                <w:rFonts w:ascii="Arial" w:eastAsia="Times New Roman" w:hAnsi="Arial" w:cs="Arial"/>
                <w:i/>
                <w:iCs/>
                <w:color w:val="3E3F2F"/>
                <w:sz w:val="15"/>
                <w:szCs w:val="15"/>
                <w:lang w:eastAsia="cs-CZ"/>
              </w:rPr>
              <w:t>Železiarne v Baerenthal (dobová fotografia)</w:t>
            </w:r>
          </w:p>
          <w:p w:rsidR="002E25F2" w:rsidRPr="002E25F2" w:rsidRDefault="002E25F2" w:rsidP="002E25F2">
            <w:pPr>
              <w:spacing w:after="0"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br/>
              <w:t>Syn Jeana Guillauma, Gustave Paul Friedrich Albert Goldenberg sa narodil 10.5.1805 v Remscheide. V roku 1818 odišiel so svojím otcom do Molsheimu. Jeho dráha započala v malej dielni, kde pracoval ako výrobca pobočných zbraní (šable, kordíky, bodáky  a pod). Kvôli nedostatku zákazok zmenil zameranie firmy na výrobu nástrojov, kde  využil svoje znalosti metalurgie a v roku 1835 otvoril prvú fabriku v Dorlisheime v Alsasku.</w:t>
            </w:r>
            <w:r w:rsidRPr="002E25F2">
              <w:rPr>
                <w:rFonts w:ascii="Arial" w:eastAsia="Times New Roman" w:hAnsi="Arial" w:cs="Arial"/>
                <w:color w:val="3E3F2F"/>
                <w:sz w:val="15"/>
                <w:szCs w:val="15"/>
                <w:lang w:eastAsia="cs-CZ"/>
              </w:rPr>
              <w:br/>
              <w:t> </w:t>
            </w:r>
            <w:r w:rsidRPr="002E25F2">
              <w:rPr>
                <w:rFonts w:ascii="Arial" w:eastAsia="Times New Roman" w:hAnsi="Arial" w:cs="Arial"/>
                <w:color w:val="3E3F2F"/>
                <w:sz w:val="15"/>
                <w:szCs w:val="15"/>
                <w:lang w:eastAsia="cs-CZ"/>
              </w:rPr>
              <w:br/>
              <w:t>V roku 1837 nasledovala druhá fabrika v Zornhoffe pri Saverne. Najprv sa tam vyrábali pilníky, neskôr náradie všeobecne - pílky, mlynčeky na kávu, poľnohospodárske náradie a nože na hoblíky a iné remeselnícke náradie.</w:t>
            </w:r>
            <w:r w:rsidRPr="002E25F2">
              <w:rPr>
                <w:rFonts w:ascii="Arial" w:eastAsia="Times New Roman" w:hAnsi="Arial" w:cs="Arial"/>
                <w:color w:val="3E3F2F"/>
                <w:sz w:val="15"/>
                <w:szCs w:val="15"/>
                <w:lang w:eastAsia="cs-CZ"/>
              </w:rPr>
              <w:br/>
              <w:t>Prvý katalóg výrobkov značky Goldenberg bol vydaný v roku 1838.</w:t>
            </w:r>
            <w:r w:rsidRPr="002E25F2">
              <w:rPr>
                <w:rFonts w:ascii="Arial" w:eastAsia="Times New Roman" w:hAnsi="Arial" w:cs="Arial"/>
                <w:color w:val="3E3F2F"/>
                <w:sz w:val="15"/>
                <w:szCs w:val="15"/>
                <w:lang w:eastAsia="cs-CZ"/>
              </w:rPr>
              <w:br/>
            </w:r>
            <w:r w:rsidRPr="002E25F2">
              <w:rPr>
                <w:rFonts w:ascii="Arial" w:eastAsia="Times New Roman" w:hAnsi="Arial" w:cs="Arial"/>
                <w:color w:val="3E3F2F"/>
                <w:sz w:val="15"/>
                <w:szCs w:val="15"/>
                <w:lang w:eastAsia="cs-CZ"/>
              </w:rPr>
              <w:br/>
              <w:t>V roku 1850 je založená spoločnosť "Goldenberg et Cie.", teda „Goldenberg a spol.“.</w:t>
            </w:r>
            <w:r w:rsidRPr="002E25F2">
              <w:rPr>
                <w:rFonts w:ascii="Arial" w:eastAsia="Times New Roman" w:hAnsi="Arial" w:cs="Arial"/>
                <w:color w:val="3E3F2F"/>
                <w:sz w:val="15"/>
                <w:szCs w:val="15"/>
                <w:lang w:eastAsia="cs-CZ"/>
              </w:rPr>
              <w:br/>
              <w:t>Okolo roku 1870 vznikol nový podnik v Tronville en Barrois, z názvom "Francúzska manufaktúra na výrobu náradia, predtým Goldenberg a spol.“ Zároveň sa prestavala materská firma v Zornhoffe na spoločnosť s názvom "Alsaská manufaktúra na výrobu náradia, predtým Goldenberg a spol.".</w:t>
            </w:r>
            <w:r w:rsidRPr="002E25F2">
              <w:rPr>
                <w:rFonts w:ascii="Arial" w:eastAsia="Times New Roman" w:hAnsi="Arial" w:cs="Arial"/>
                <w:color w:val="3E3F2F"/>
                <w:sz w:val="15"/>
                <w:szCs w:val="15"/>
                <w:lang w:eastAsia="cs-CZ"/>
              </w:rPr>
              <w:br/>
              <w:t>Od roku 1893 sa v Tronville začali vyrábať prvé kompletné hoblíky.</w:t>
            </w:r>
            <w:r w:rsidRPr="002E25F2">
              <w:rPr>
                <w:rFonts w:ascii="Arial" w:eastAsia="Times New Roman" w:hAnsi="Arial" w:cs="Arial"/>
                <w:color w:val="3E3F2F"/>
                <w:sz w:val="15"/>
                <w:szCs w:val="15"/>
                <w:lang w:eastAsia="cs-CZ"/>
              </w:rPr>
              <w:br/>
              <w:t xml:space="preserve">V roku 1914 sa firma spomína ako člen kartelu fabrík na výrobu náradia na opracovanie dreva. </w:t>
            </w:r>
            <w:r w:rsidRPr="002E25F2">
              <w:rPr>
                <w:rFonts w:ascii="Arial" w:eastAsia="Times New Roman" w:hAnsi="Arial" w:cs="Arial"/>
                <w:color w:val="3E3F2F"/>
                <w:sz w:val="15"/>
                <w:szCs w:val="15"/>
                <w:lang w:eastAsia="cs-CZ"/>
              </w:rPr>
              <w:br/>
              <w:t>V roku 1924 sa spojili obe spoločnosti z Tronville a Zornhoffu do zoskupenia "Bývalé spoločnosti Goldenberg a spol."</w:t>
            </w:r>
            <w:r w:rsidRPr="002E25F2">
              <w:rPr>
                <w:rFonts w:ascii="Arial" w:eastAsia="Times New Roman" w:hAnsi="Arial" w:cs="Arial"/>
                <w:color w:val="3E3F2F"/>
                <w:sz w:val="15"/>
                <w:szCs w:val="15"/>
                <w:lang w:eastAsia="cs-CZ"/>
              </w:rPr>
              <w:br/>
              <w:t> </w:t>
            </w:r>
            <w:r w:rsidRPr="002E25F2">
              <w:rPr>
                <w:rFonts w:ascii="Arial" w:eastAsia="Times New Roman" w:hAnsi="Arial" w:cs="Arial"/>
                <w:color w:val="3E3F2F"/>
                <w:sz w:val="15"/>
                <w:szCs w:val="15"/>
                <w:lang w:eastAsia="cs-CZ"/>
              </w:rPr>
              <w:br/>
              <w:t xml:space="preserve">Tieto vyobrazenia ukazujú fabriky v </w:t>
            </w:r>
            <w:hyperlink r:id="rId11" w:tgtFrame="_blank" w:history="1">
              <w:r w:rsidRPr="002E25F2">
                <w:rPr>
                  <w:rFonts w:ascii="Arial" w:eastAsia="Times New Roman" w:hAnsi="Arial" w:cs="Arial"/>
                  <w:b/>
                  <w:bCs/>
                  <w:color w:val="994C11"/>
                  <w:sz w:val="15"/>
                  <w:u w:val="single"/>
                  <w:lang w:eastAsia="cs-CZ"/>
                </w:rPr>
                <w:t>Tronville (1927)</w:t>
              </w:r>
            </w:hyperlink>
            <w:r w:rsidRPr="002E25F2">
              <w:rPr>
                <w:rFonts w:ascii="Arial" w:eastAsia="Times New Roman" w:hAnsi="Arial" w:cs="Arial"/>
                <w:color w:val="3E3F2F"/>
                <w:sz w:val="15"/>
                <w:szCs w:val="15"/>
                <w:lang w:eastAsia="cs-CZ"/>
              </w:rPr>
              <w:t xml:space="preserve"> a </w:t>
            </w:r>
            <w:hyperlink r:id="rId12" w:tgtFrame="_blank" w:history="1">
              <w:r w:rsidRPr="002E25F2">
                <w:rPr>
                  <w:rFonts w:ascii="Arial" w:eastAsia="Times New Roman" w:hAnsi="Arial" w:cs="Arial"/>
                  <w:b/>
                  <w:bCs/>
                  <w:color w:val="994C11"/>
                  <w:sz w:val="15"/>
                  <w:u w:val="single"/>
                  <w:lang w:eastAsia="cs-CZ"/>
                </w:rPr>
                <w:t>Zornhoffe (1927)</w:t>
              </w:r>
            </w:hyperlink>
            <w:r w:rsidRPr="002E25F2">
              <w:rPr>
                <w:rFonts w:ascii="Arial" w:eastAsia="Times New Roman" w:hAnsi="Arial" w:cs="Arial"/>
                <w:color w:val="3E3F2F"/>
                <w:sz w:val="15"/>
                <w:szCs w:val="15"/>
                <w:lang w:eastAsia="cs-CZ"/>
              </w:rPr>
              <w:t xml:space="preserve"> .</w:t>
            </w:r>
            <w:r w:rsidRPr="002E25F2">
              <w:rPr>
                <w:rFonts w:ascii="Arial" w:eastAsia="Times New Roman" w:hAnsi="Arial" w:cs="Arial"/>
                <w:color w:val="3E3F2F"/>
                <w:sz w:val="15"/>
                <w:szCs w:val="15"/>
                <w:lang w:eastAsia="cs-CZ"/>
              </w:rPr>
              <w:br/>
            </w:r>
            <w:r w:rsidRPr="002E25F2">
              <w:rPr>
                <w:rFonts w:ascii="Arial" w:eastAsia="Times New Roman" w:hAnsi="Arial" w:cs="Arial"/>
                <w:color w:val="3E3F2F"/>
                <w:sz w:val="15"/>
                <w:szCs w:val="15"/>
                <w:lang w:eastAsia="cs-CZ"/>
              </w:rPr>
              <w:br/>
              <w:t>Medzi svetovými vojnami ustúpil predaj náradia, pritvrdila sa konkurencia najmä s francúzskou firmou Peugeot, ale aj s expandujúcimi americkými firmami.</w:t>
            </w:r>
            <w:r w:rsidRPr="002E25F2">
              <w:rPr>
                <w:rFonts w:ascii="Arial" w:eastAsia="Times New Roman" w:hAnsi="Arial" w:cs="Arial"/>
                <w:color w:val="3E3F2F"/>
                <w:sz w:val="15"/>
                <w:szCs w:val="15"/>
                <w:lang w:eastAsia="cs-CZ"/>
              </w:rPr>
              <w:br/>
              <w:t xml:space="preserve">V 70tych rokoch 20. storočia bola spísaná zmluva o spolupráci s fabrikou Peugeot na náradie a vznika firma SICFO, ktorú pohltil v </w:t>
            </w:r>
            <w:r w:rsidRPr="002E25F2">
              <w:rPr>
                <w:rFonts w:ascii="Arial" w:eastAsia="Times New Roman" w:hAnsi="Arial" w:cs="Arial"/>
                <w:color w:val="3E3F2F"/>
                <w:sz w:val="15"/>
                <w:szCs w:val="15"/>
                <w:lang w:eastAsia="cs-CZ"/>
              </w:rPr>
              <w:lastRenderedPageBreak/>
              <w:t>roku 1986 britský koncern Stanley. Značka a meno Goldenberg sa pritom zachovali.</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br/>
            </w:r>
            <w:r w:rsidRPr="002E25F2">
              <w:rPr>
                <w:rFonts w:ascii="Arial" w:eastAsia="Times New Roman" w:hAnsi="Arial" w:cs="Arial"/>
                <w:b/>
                <w:bCs/>
                <w:color w:val="3E3F2F"/>
                <w:sz w:val="15"/>
                <w:szCs w:val="15"/>
                <w:lang w:eastAsia="cs-CZ"/>
              </w:rPr>
              <w:t>Značenie nástrojov:</w:t>
            </w:r>
          </w:p>
          <w:tbl>
            <w:tblPr>
              <w:tblW w:w="7260" w:type="dxa"/>
              <w:tblCellSpacing w:w="15" w:type="dxa"/>
              <w:tblCellMar>
                <w:top w:w="15" w:type="dxa"/>
                <w:left w:w="15" w:type="dxa"/>
                <w:bottom w:w="15" w:type="dxa"/>
                <w:right w:w="15" w:type="dxa"/>
              </w:tblCellMar>
              <w:tblLook w:val="04A0"/>
            </w:tblPr>
            <w:tblGrid>
              <w:gridCol w:w="2428"/>
              <w:gridCol w:w="4832"/>
            </w:tblGrid>
            <w:tr w:rsidR="002E25F2" w:rsidRPr="002E25F2">
              <w:trPr>
                <w:tblCellSpacing w:w="15" w:type="dxa"/>
              </w:trPr>
              <w:tc>
                <w:tcPr>
                  <w:tcW w:w="0" w:type="auto"/>
                  <w:vAlign w:val="center"/>
                  <w:hideMark/>
                </w:tcPr>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Pr>
                      <w:rFonts w:ascii="Arial" w:eastAsia="Times New Roman" w:hAnsi="Arial" w:cs="Arial"/>
                      <w:b/>
                      <w:bCs/>
                      <w:noProof/>
                      <w:color w:val="994C11"/>
                      <w:sz w:val="15"/>
                      <w:szCs w:val="15"/>
                      <w:lang w:eastAsia="cs-CZ"/>
                    </w:rPr>
                    <w:drawing>
                      <wp:inline distT="0" distB="0" distL="0" distR="0">
                        <wp:extent cx="1475105" cy="2389505"/>
                        <wp:effectExtent l="19050" t="0" r="0" b="0"/>
                        <wp:docPr id="4" name="obrázek 4" descr=" ">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a:hlinkClick r:id="rId13" tgtFrame="_blank"/>
                                </pic:cNvPr>
                                <pic:cNvPicPr>
                                  <a:picLocks noChangeAspect="1" noChangeArrowheads="1"/>
                                </pic:cNvPicPr>
                              </pic:nvPicPr>
                              <pic:blipFill>
                                <a:blip r:embed="rId14" cstate="print"/>
                                <a:srcRect/>
                                <a:stretch>
                                  <a:fillRect/>
                                </a:stretch>
                              </pic:blipFill>
                              <pic:spPr bwMode="auto">
                                <a:xfrm>
                                  <a:off x="0" y="0"/>
                                  <a:ext cx="1475105" cy="2389505"/>
                                </a:xfrm>
                                <a:prstGeom prst="rect">
                                  <a:avLst/>
                                </a:prstGeom>
                                <a:noFill/>
                                <a:ln w="9525">
                                  <a:noFill/>
                                  <a:miter lim="800000"/>
                                  <a:headEnd/>
                                  <a:tailEnd/>
                                </a:ln>
                              </pic:spPr>
                            </pic:pic>
                          </a:graphicData>
                        </a:graphic>
                      </wp:inline>
                    </w:drawing>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Pr>
                      <w:rFonts w:ascii="Arial" w:eastAsia="Times New Roman" w:hAnsi="Arial" w:cs="Arial"/>
                      <w:b/>
                      <w:bCs/>
                      <w:noProof/>
                      <w:color w:val="994C11"/>
                      <w:sz w:val="15"/>
                      <w:szCs w:val="15"/>
                      <w:lang w:eastAsia="cs-CZ"/>
                    </w:rPr>
                    <w:drawing>
                      <wp:inline distT="0" distB="0" distL="0" distR="0">
                        <wp:extent cx="1475105" cy="1104265"/>
                        <wp:effectExtent l="19050" t="0" r="0" b="0"/>
                        <wp:docPr id="5" name="obrázek 5" descr=" ">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5" tgtFrame="_blank"/>
                                </pic:cNvPr>
                                <pic:cNvPicPr>
                                  <a:picLocks noChangeAspect="1" noChangeArrowheads="1"/>
                                </pic:cNvPicPr>
                              </pic:nvPicPr>
                              <pic:blipFill>
                                <a:blip r:embed="rId16" cstate="print"/>
                                <a:srcRect/>
                                <a:stretch>
                                  <a:fillRect/>
                                </a:stretch>
                              </pic:blipFill>
                              <pic:spPr bwMode="auto">
                                <a:xfrm>
                                  <a:off x="0" y="0"/>
                                  <a:ext cx="1475105" cy="1104265"/>
                                </a:xfrm>
                                <a:prstGeom prst="rect">
                                  <a:avLst/>
                                </a:prstGeom>
                                <a:noFill/>
                                <a:ln w="9525">
                                  <a:noFill/>
                                  <a:miter lim="800000"/>
                                  <a:headEnd/>
                                  <a:tailEnd/>
                                </a:ln>
                              </pic:spPr>
                            </pic:pic>
                          </a:graphicData>
                        </a:graphic>
                      </wp:inline>
                    </w:drawing>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Pr>
                      <w:rFonts w:ascii="Arial" w:eastAsia="Times New Roman" w:hAnsi="Arial" w:cs="Arial"/>
                      <w:b/>
                      <w:bCs/>
                      <w:noProof/>
                      <w:color w:val="994C11"/>
                      <w:sz w:val="15"/>
                      <w:szCs w:val="15"/>
                      <w:lang w:eastAsia="cs-CZ"/>
                    </w:rPr>
                    <w:drawing>
                      <wp:inline distT="0" distB="0" distL="0" distR="0">
                        <wp:extent cx="1475105" cy="448310"/>
                        <wp:effectExtent l="19050" t="0" r="0" b="0"/>
                        <wp:docPr id="6" name="obrázek 6" descr=" ">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17" tgtFrame="_blank"/>
                                </pic:cNvPr>
                                <pic:cNvPicPr>
                                  <a:picLocks noChangeAspect="1" noChangeArrowheads="1"/>
                                </pic:cNvPicPr>
                              </pic:nvPicPr>
                              <pic:blipFill>
                                <a:blip r:embed="rId18" cstate="print"/>
                                <a:srcRect/>
                                <a:stretch>
                                  <a:fillRect/>
                                </a:stretch>
                              </pic:blipFill>
                              <pic:spPr bwMode="auto">
                                <a:xfrm>
                                  <a:off x="0" y="0"/>
                                  <a:ext cx="1475105" cy="448310"/>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Od založenia v roku 1835 do 1893 sa k hoblíkom vyrábali len železné časti -„železá“. Značenie pozostáva z nápisu "á l'oeil" - oko alebo "Zornhoff", v zúbkovanom rámčeku. Neskôr nasleduje nápis "Goldenberg" a jedna z troch značiek kvality ocele: najlepšia je značená okom, ostatné gryfom, alebo labuťou. Neskôr sa k používaným značkám začalo používať aj vyobrazenie včely a medveďa. Od roku 1893 sa vyrábajú celé hoblíky, telo hoblíka je označené "Goldenberg". Existujú dve línie výroby: jedna zreteľne francúzska, najčastejšie z jarabiny (Sorbus domestica) a len málo zaoblená, druhá na export na východ z hrabu, s nosom hoblíka a zaoblenými tvarmi veľmi podobnými hoblíkom od firmy „John Weiss &amp; Sohn Wien“. Aj pre anglosaský trh sa vyrábali „železá“ (teda tie železné časti). Krátko po druhej svetovej vojne sa značili "Goldberg acier chromé (Goldberg chromová oceľ)“, telá dostávali značenie zodpovedajúce druhu dreva (ovocné, jarabina) a medailón so značkou Zornhoff. Asi od roku 1970 sa medailón vymenil za červenú pečiatku a spodná časť z kvajakového dreva (Guaiacum) je nasadená na tele zo svetlého dreva.</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br/>
                  </w:r>
                  <w:r w:rsidRPr="002E25F2">
                    <w:rPr>
                      <w:rFonts w:ascii="Arial" w:eastAsia="Times New Roman" w:hAnsi="Arial" w:cs="Arial"/>
                      <w:i/>
                      <w:iCs/>
                      <w:color w:val="3E3F2F"/>
                      <w:sz w:val="15"/>
                      <w:szCs w:val="15"/>
                      <w:lang w:eastAsia="cs-CZ"/>
                    </w:rPr>
                    <w:t>Značka na noži hoblíka, na klopke hoblíka a na dláte </w:t>
                  </w:r>
                </w:p>
              </w:tc>
            </w:tr>
          </w:tbl>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Je ešte potrebné spomenúť používané nápisy ktoré sa na nástrojoch značky Goldenberg vyskytovali:</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GOLDENBERG; GOLDENBERG – ACIER FONDU; GOLDENBERG,A.F; GOLDENBERG (číslo, veľkosť nástroja) ACIER FONDU A GARANTIE; GOLDENBERG (číslo, veľkosť nástroja) ACIER FONDU A GARANTIE BREVETE S.G.D.G; ACIER FONDU; prípadne doplnkové údaje - á l'oeil; ZORNHOFF...</w:t>
            </w:r>
          </w:p>
          <w:tbl>
            <w:tblPr>
              <w:tblW w:w="7020" w:type="dxa"/>
              <w:jc w:val="center"/>
              <w:tblCellSpacing w:w="15" w:type="dxa"/>
              <w:tblCellMar>
                <w:top w:w="15" w:type="dxa"/>
                <w:left w:w="15" w:type="dxa"/>
                <w:bottom w:w="15" w:type="dxa"/>
                <w:right w:w="15" w:type="dxa"/>
              </w:tblCellMar>
              <w:tblLook w:val="04A0"/>
            </w:tblPr>
            <w:tblGrid>
              <w:gridCol w:w="1402"/>
              <w:gridCol w:w="1388"/>
              <w:gridCol w:w="1388"/>
              <w:gridCol w:w="1388"/>
              <w:gridCol w:w="1454"/>
            </w:tblGrid>
            <w:tr w:rsidR="002E25F2" w:rsidRPr="002E25F2">
              <w:trPr>
                <w:tblCellSpacing w:w="15" w:type="dxa"/>
                <w:jc w:val="center"/>
              </w:trPr>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664210" cy="664210"/>
                        <wp:effectExtent l="19050" t="0" r="2540" b="0"/>
                        <wp:docPr id="7" name="obrázek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19"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664210" cy="664210"/>
                        <wp:effectExtent l="19050" t="0" r="2540" b="0"/>
                        <wp:docPr id="8" name="obrázek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20"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664210" cy="664210"/>
                        <wp:effectExtent l="19050" t="0" r="2540" b="0"/>
                        <wp:docPr id="9" name="obrázek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21"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664210" cy="664210"/>
                        <wp:effectExtent l="19050" t="0" r="2540" b="0"/>
                        <wp:docPr id="10" name="obrázek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2"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before="100" w:beforeAutospacing="1" w:after="100" w:afterAutospacing="1"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664210" cy="664210"/>
                        <wp:effectExtent l="19050" t="0" r="2540" b="0"/>
                        <wp:docPr id="11" name="obrázek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
                                <pic:cNvPicPr>
                                  <a:picLocks noChangeAspect="1" noChangeArrowheads="1"/>
                                </pic:cNvPicPr>
                              </pic:nvPicPr>
                              <pic:blipFill>
                                <a:blip r:embed="rId23"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r w:rsidRPr="002E25F2">
                    <w:rPr>
                      <w:rFonts w:ascii="Arial" w:eastAsia="Times New Roman" w:hAnsi="Arial" w:cs="Arial"/>
                      <w:color w:val="3E3F2F"/>
                      <w:sz w:val="15"/>
                      <w:szCs w:val="15"/>
                      <w:lang w:eastAsia="cs-CZ"/>
                    </w:rPr>
                    <w:t> </w:t>
                  </w:r>
                </w:p>
              </w:tc>
            </w:tr>
          </w:tbl>
          <w:p w:rsidR="002E25F2" w:rsidRPr="002E25F2" w:rsidRDefault="002E25F2" w:rsidP="002E25F2">
            <w:pPr>
              <w:spacing w:after="0" w:line="360" w:lineRule="auto"/>
              <w:rPr>
                <w:rFonts w:ascii="Arial" w:eastAsia="Times New Roman" w:hAnsi="Arial" w:cs="Arial"/>
                <w:color w:val="3E3F2F"/>
                <w:sz w:val="15"/>
                <w:szCs w:val="15"/>
                <w:lang w:eastAsia="cs-CZ"/>
              </w:rPr>
            </w:pPr>
          </w:p>
          <w:tbl>
            <w:tblPr>
              <w:tblW w:w="7200" w:type="dxa"/>
              <w:jc w:val="center"/>
              <w:tblCellSpacing w:w="15" w:type="dxa"/>
              <w:tblCellMar>
                <w:top w:w="15" w:type="dxa"/>
                <w:left w:w="15" w:type="dxa"/>
                <w:bottom w:w="15" w:type="dxa"/>
                <w:right w:w="15" w:type="dxa"/>
              </w:tblCellMar>
              <w:tblLook w:val="04A0"/>
            </w:tblPr>
            <w:tblGrid>
              <w:gridCol w:w="2863"/>
              <w:gridCol w:w="2848"/>
              <w:gridCol w:w="1489"/>
            </w:tblGrid>
            <w:tr w:rsidR="002E25F2" w:rsidRPr="002E25F2">
              <w:trPr>
                <w:tblCellSpacing w:w="15" w:type="dxa"/>
                <w:jc w:val="center"/>
              </w:trPr>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1337310" cy="577850"/>
                        <wp:effectExtent l="19050" t="0" r="0" b="0"/>
                        <wp:docPr id="12" name="obrázek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24" cstate="print"/>
                                <a:srcRect/>
                                <a:stretch>
                                  <a:fillRect/>
                                </a:stretch>
                              </pic:blipFill>
                              <pic:spPr bwMode="auto">
                                <a:xfrm>
                                  <a:off x="0" y="0"/>
                                  <a:ext cx="1337310" cy="577850"/>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1337310" cy="517525"/>
                        <wp:effectExtent l="19050" t="0" r="0" b="0"/>
                        <wp:docPr id="13" name="obrázek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25" cstate="print"/>
                                <a:srcRect/>
                                <a:stretch>
                                  <a:fillRect/>
                                </a:stretch>
                              </pic:blipFill>
                              <pic:spPr bwMode="auto">
                                <a:xfrm>
                                  <a:off x="0" y="0"/>
                                  <a:ext cx="1337310" cy="517525"/>
                                </a:xfrm>
                                <a:prstGeom prst="rect">
                                  <a:avLst/>
                                </a:prstGeom>
                                <a:noFill/>
                                <a:ln w="9525">
                                  <a:noFill/>
                                  <a:miter lim="800000"/>
                                  <a:headEnd/>
                                  <a:tailEnd/>
                                </a:ln>
                              </pic:spPr>
                            </pic:pic>
                          </a:graphicData>
                        </a:graphic>
                      </wp:inline>
                    </w:drawing>
                  </w:r>
                </w:p>
              </w:tc>
              <w:tc>
                <w:tcPr>
                  <w:tcW w:w="0" w:type="auto"/>
                  <w:hideMark/>
                </w:tcPr>
                <w:p w:rsidR="002E25F2" w:rsidRPr="002E25F2" w:rsidRDefault="002E25F2" w:rsidP="002E25F2">
                  <w:pPr>
                    <w:spacing w:after="0" w:line="360" w:lineRule="auto"/>
                    <w:jc w:val="center"/>
                    <w:rPr>
                      <w:rFonts w:ascii="Arial" w:eastAsia="Times New Roman" w:hAnsi="Arial" w:cs="Arial"/>
                      <w:color w:val="3E3F2F"/>
                      <w:sz w:val="15"/>
                      <w:szCs w:val="15"/>
                      <w:lang w:eastAsia="cs-CZ"/>
                    </w:rPr>
                  </w:pPr>
                  <w:r>
                    <w:rPr>
                      <w:rFonts w:ascii="Arial" w:eastAsia="Times New Roman" w:hAnsi="Arial" w:cs="Arial"/>
                      <w:noProof/>
                      <w:color w:val="3E3F2F"/>
                      <w:sz w:val="15"/>
                      <w:szCs w:val="15"/>
                      <w:lang w:eastAsia="cs-CZ"/>
                    </w:rPr>
                    <w:drawing>
                      <wp:inline distT="0" distB="0" distL="0" distR="0">
                        <wp:extent cx="664210" cy="664210"/>
                        <wp:effectExtent l="19050" t="0" r="2540" b="0"/>
                        <wp:docPr id="14" name="obrázek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6" cstate="print"/>
                                <a:srcRect/>
                                <a:stretch>
                                  <a:fillRect/>
                                </a:stretch>
                              </pic:blipFill>
                              <pic:spPr bwMode="auto">
                                <a:xfrm>
                                  <a:off x="0" y="0"/>
                                  <a:ext cx="664210" cy="664210"/>
                                </a:xfrm>
                                <a:prstGeom prst="rect">
                                  <a:avLst/>
                                </a:prstGeom>
                                <a:noFill/>
                                <a:ln w="9525">
                                  <a:noFill/>
                                  <a:miter lim="800000"/>
                                  <a:headEnd/>
                                  <a:tailEnd/>
                                </a:ln>
                              </pic:spPr>
                            </pic:pic>
                          </a:graphicData>
                        </a:graphic>
                      </wp:inline>
                    </w:drawing>
                  </w:r>
                </w:p>
              </w:tc>
            </w:tr>
          </w:tbl>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lastRenderedPageBreak/>
              <w:br/>
            </w:r>
            <w:r w:rsidRPr="002E25F2">
              <w:rPr>
                <w:rFonts w:ascii="Arial" w:eastAsia="Times New Roman" w:hAnsi="Arial" w:cs="Arial"/>
                <w:color w:val="3E3F2F"/>
                <w:sz w:val="15"/>
                <w:szCs w:val="15"/>
                <w:lang w:eastAsia="cs-CZ"/>
              </w:rPr>
              <w:br/>
            </w:r>
            <w:r w:rsidRPr="002E25F2">
              <w:rPr>
                <w:rFonts w:ascii="Arial" w:eastAsia="Times New Roman" w:hAnsi="Arial" w:cs="Arial"/>
                <w:color w:val="3E3F2F"/>
                <w:sz w:val="15"/>
                <w:szCs w:val="15"/>
                <w:lang w:eastAsia="cs-CZ"/>
              </w:rPr>
              <w:br/>
              <w:t xml:space="preserve">Použité zdroje:     </w:t>
            </w:r>
            <w:hyperlink r:id="rId27" w:tgtFrame="_blank" w:history="1">
              <w:r w:rsidRPr="002E25F2">
                <w:rPr>
                  <w:rFonts w:ascii="Arial" w:eastAsia="Times New Roman" w:hAnsi="Arial" w:cs="Arial"/>
                  <w:b/>
                  <w:bCs/>
                  <w:color w:val="994C11"/>
                  <w:sz w:val="15"/>
                  <w:szCs w:val="15"/>
                  <w:u w:val="single"/>
                  <w:lang w:eastAsia="cs-CZ"/>
                </w:rPr>
                <w:t>www.holzwerken.de</w:t>
              </w:r>
            </w:hyperlink>
            <w:r w:rsidRPr="002E25F2">
              <w:rPr>
                <w:rFonts w:ascii="Arial" w:eastAsia="Times New Roman" w:hAnsi="Arial" w:cs="Arial"/>
                <w:color w:val="3E3F2F"/>
                <w:sz w:val="15"/>
                <w:szCs w:val="15"/>
                <w:lang w:eastAsia="cs-CZ"/>
              </w:rPr>
              <w:t> </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xml:space="preserve">                             </w:t>
            </w:r>
            <w:hyperlink r:id="rId28" w:tgtFrame="_blank" w:history="1">
              <w:r w:rsidRPr="002E25F2">
                <w:rPr>
                  <w:rFonts w:ascii="Arial" w:eastAsia="Times New Roman" w:hAnsi="Arial" w:cs="Arial"/>
                  <w:b/>
                  <w:bCs/>
                  <w:color w:val="994C11"/>
                  <w:sz w:val="15"/>
                  <w:szCs w:val="15"/>
                  <w:u w:val="single"/>
                  <w:lang w:eastAsia="cs-CZ"/>
                </w:rPr>
                <w:t>www.fr.wikipedia.org </w:t>
              </w:r>
            </w:hyperlink>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archív autora</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Preklady:              nemčina Janina Jankovičová</w:t>
            </w:r>
          </w:p>
          <w:p w:rsidR="002E25F2" w:rsidRPr="002E25F2" w:rsidRDefault="002E25F2" w:rsidP="002E25F2">
            <w:pPr>
              <w:spacing w:before="100" w:beforeAutospacing="1" w:after="100" w:afterAutospacing="1" w:line="360" w:lineRule="auto"/>
              <w:rPr>
                <w:rFonts w:ascii="Arial" w:eastAsia="Times New Roman" w:hAnsi="Arial" w:cs="Arial"/>
                <w:color w:val="3E3F2F"/>
                <w:sz w:val="15"/>
                <w:szCs w:val="15"/>
                <w:lang w:eastAsia="cs-CZ"/>
              </w:rPr>
            </w:pPr>
            <w:r w:rsidRPr="002E25F2">
              <w:rPr>
                <w:rFonts w:ascii="Arial" w:eastAsia="Times New Roman" w:hAnsi="Arial" w:cs="Arial"/>
                <w:color w:val="3E3F2F"/>
                <w:sz w:val="15"/>
                <w:szCs w:val="15"/>
                <w:lang w:eastAsia="cs-CZ"/>
              </w:rPr>
              <w:t xml:space="preserve">                             francúzština Mgr. Hana Pekárová  </w:t>
            </w:r>
          </w:p>
        </w:tc>
      </w:tr>
    </w:tbl>
    <w:p w:rsidR="0094369A" w:rsidRDefault="0094369A"/>
    <w:p w:rsidR="0094369A" w:rsidRDefault="00C32DAF">
      <w:pPr>
        <w:rPr>
          <w:rStyle w:val="postbody1"/>
          <w:rFonts w:ascii="Arial" w:hAnsi="Arial" w:cs="Arial"/>
          <w:color w:val="3E3F2F"/>
        </w:rPr>
      </w:pPr>
      <w:r>
        <w:rPr>
          <w:rStyle w:val="postbody1"/>
          <w:rFonts w:ascii="Arial" w:hAnsi="Arial" w:cs="Arial"/>
          <w:color w:val="3E3F2F"/>
        </w:rPr>
        <w:t>kniha "Poselství dřeva"</w:t>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2E25F2"/>
    <w:rsid w:val="002B5EC0"/>
    <w:rsid w:val="002E25F2"/>
    <w:rsid w:val="002F33BA"/>
    <w:rsid w:val="0056359B"/>
    <w:rsid w:val="007222B8"/>
    <w:rsid w:val="00722379"/>
    <w:rsid w:val="0074556C"/>
    <w:rsid w:val="0077791C"/>
    <w:rsid w:val="00852E34"/>
    <w:rsid w:val="0094369A"/>
    <w:rsid w:val="00A42698"/>
    <w:rsid w:val="00C32DAF"/>
    <w:rsid w:val="00D93606"/>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E25F2"/>
    <w:rPr>
      <w:b/>
      <w:bCs/>
      <w:color w:val="994C11"/>
      <w:u w:val="single"/>
    </w:rPr>
  </w:style>
  <w:style w:type="paragraph" w:styleId="Normlnweb">
    <w:name w:val="Normal (Web)"/>
    <w:basedOn w:val="Normln"/>
    <w:uiPriority w:val="99"/>
    <w:unhideWhenUsed/>
    <w:rsid w:val="002E25F2"/>
    <w:pPr>
      <w:spacing w:before="100" w:beforeAutospacing="1" w:after="100" w:afterAutospacing="1" w:line="360" w:lineRule="auto"/>
    </w:pPr>
    <w:rPr>
      <w:rFonts w:ascii="Arial" w:eastAsia="Times New Roman" w:hAnsi="Arial" w:cs="Arial"/>
      <w:color w:val="3E3F2F"/>
      <w:sz w:val="15"/>
      <w:szCs w:val="15"/>
      <w:lang w:eastAsia="cs-CZ"/>
    </w:rPr>
  </w:style>
  <w:style w:type="paragraph" w:styleId="Textbubliny">
    <w:name w:val="Balloon Text"/>
    <w:basedOn w:val="Normln"/>
    <w:link w:val="TextbublinyChar"/>
    <w:uiPriority w:val="99"/>
    <w:semiHidden/>
    <w:unhideWhenUsed/>
    <w:rsid w:val="002E25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5F2"/>
    <w:rPr>
      <w:rFonts w:ascii="Tahoma" w:hAnsi="Tahoma" w:cs="Tahoma"/>
      <w:sz w:val="16"/>
      <w:szCs w:val="16"/>
    </w:rPr>
  </w:style>
  <w:style w:type="character" w:customStyle="1" w:styleId="postbody1">
    <w:name w:val="postbody1"/>
    <w:basedOn w:val="Standardnpsmoodstavce"/>
    <w:rsid w:val="0094369A"/>
    <w:rPr>
      <w:sz w:val="16"/>
      <w:szCs w:val="16"/>
    </w:rPr>
  </w:style>
  <w:style w:type="character" w:customStyle="1" w:styleId="nav1">
    <w:name w:val="nav1"/>
    <w:basedOn w:val="Standardnpsmoodstavce"/>
    <w:rsid w:val="0094369A"/>
    <w:rPr>
      <w:b/>
      <w:bCs/>
      <w:color w:val="000000"/>
      <w:sz w:val="15"/>
      <w:szCs w:val="15"/>
    </w:rPr>
  </w:style>
  <w:style w:type="character" w:customStyle="1" w:styleId="name1">
    <w:name w:val="name1"/>
    <w:basedOn w:val="Standardnpsmoodstavce"/>
    <w:rsid w:val="0094369A"/>
    <w:rPr>
      <w:color w:val="000000"/>
      <w:sz w:val="15"/>
      <w:szCs w:val="15"/>
    </w:rPr>
  </w:style>
  <w:style w:type="character" w:customStyle="1" w:styleId="postdetails1">
    <w:name w:val="postdetails1"/>
    <w:basedOn w:val="Standardnpsmoodstavce"/>
    <w:rsid w:val="0094369A"/>
    <w:rPr>
      <w:color w:val="000000"/>
      <w:sz w:val="14"/>
      <w:szCs w:val="14"/>
    </w:rPr>
  </w:style>
  <w:style w:type="character" w:customStyle="1" w:styleId="gen1">
    <w:name w:val="gen1"/>
    <w:basedOn w:val="Standardnpsmoodstavce"/>
    <w:rsid w:val="0094369A"/>
    <w:rPr>
      <w:color w:val="000000"/>
      <w:sz w:val="16"/>
      <w:szCs w:val="16"/>
    </w:rPr>
  </w:style>
</w:styles>
</file>

<file path=word/webSettings.xml><?xml version="1.0" encoding="utf-8"?>
<w:webSettings xmlns:r="http://schemas.openxmlformats.org/officeDocument/2006/relationships" xmlns:w="http://schemas.openxmlformats.org/wordprocessingml/2006/main">
  <w:divs>
    <w:div w:id="745956735">
      <w:bodyDiv w:val="1"/>
      <w:marLeft w:val="0"/>
      <w:marRight w:val="0"/>
      <w:marTop w:val="136"/>
      <w:marBottom w:val="0"/>
      <w:divBdr>
        <w:top w:val="none" w:sz="0" w:space="0" w:color="auto"/>
        <w:left w:val="none" w:sz="0" w:space="0" w:color="auto"/>
        <w:bottom w:val="none" w:sz="0" w:space="0" w:color="auto"/>
        <w:right w:val="none" w:sz="0" w:space="0" w:color="auto"/>
      </w:divBdr>
      <w:divsChild>
        <w:div w:id="1278371882">
          <w:marLeft w:val="0"/>
          <w:marRight w:val="0"/>
          <w:marTop w:val="0"/>
          <w:marBottom w:val="0"/>
          <w:divBdr>
            <w:top w:val="none" w:sz="0" w:space="0" w:color="auto"/>
            <w:left w:val="none" w:sz="0" w:space="0" w:color="auto"/>
            <w:bottom w:val="none" w:sz="0" w:space="0" w:color="auto"/>
            <w:right w:val="none" w:sz="0" w:space="0" w:color="auto"/>
          </w:divBdr>
        </w:div>
        <w:div w:id="720441831">
          <w:marLeft w:val="0"/>
          <w:marRight w:val="0"/>
          <w:marTop w:val="0"/>
          <w:marBottom w:val="0"/>
          <w:divBdr>
            <w:top w:val="none" w:sz="0" w:space="0" w:color="auto"/>
            <w:left w:val="none" w:sz="0" w:space="0" w:color="auto"/>
            <w:bottom w:val="none" w:sz="0" w:space="0" w:color="auto"/>
            <w:right w:val="none" w:sz="0" w:space="0" w:color="auto"/>
          </w:divBdr>
        </w:div>
        <w:div w:id="1709135347">
          <w:marLeft w:val="0"/>
          <w:marRight w:val="0"/>
          <w:marTop w:val="0"/>
          <w:marBottom w:val="0"/>
          <w:divBdr>
            <w:top w:val="none" w:sz="0" w:space="0" w:color="auto"/>
            <w:left w:val="none" w:sz="0" w:space="0" w:color="auto"/>
            <w:bottom w:val="none" w:sz="0" w:space="0" w:color="auto"/>
            <w:right w:val="none" w:sz="0" w:space="0" w:color="auto"/>
          </w:divBdr>
        </w:div>
        <w:div w:id="1554656027">
          <w:marLeft w:val="0"/>
          <w:marRight w:val="0"/>
          <w:marTop w:val="0"/>
          <w:marBottom w:val="0"/>
          <w:divBdr>
            <w:top w:val="none" w:sz="0" w:space="0" w:color="auto"/>
            <w:left w:val="none" w:sz="0" w:space="0" w:color="auto"/>
            <w:bottom w:val="none" w:sz="0" w:space="0" w:color="auto"/>
            <w:right w:val="none" w:sz="0" w:space="0" w:color="auto"/>
          </w:divBdr>
        </w:div>
        <w:div w:id="1138107755">
          <w:marLeft w:val="0"/>
          <w:marRight w:val="0"/>
          <w:marTop w:val="0"/>
          <w:marBottom w:val="0"/>
          <w:divBdr>
            <w:top w:val="none" w:sz="0" w:space="0" w:color="auto"/>
            <w:left w:val="none" w:sz="0" w:space="0" w:color="auto"/>
            <w:bottom w:val="none" w:sz="0" w:space="0" w:color="auto"/>
            <w:right w:val="none" w:sz="0" w:space="0" w:color="auto"/>
          </w:divBdr>
        </w:div>
        <w:div w:id="377097844">
          <w:marLeft w:val="0"/>
          <w:marRight w:val="0"/>
          <w:marTop w:val="0"/>
          <w:marBottom w:val="0"/>
          <w:divBdr>
            <w:top w:val="none" w:sz="0" w:space="0" w:color="auto"/>
            <w:left w:val="none" w:sz="0" w:space="0" w:color="auto"/>
            <w:bottom w:val="none" w:sz="0" w:space="0" w:color="auto"/>
            <w:right w:val="none" w:sz="0" w:space="0" w:color="auto"/>
          </w:divBdr>
        </w:div>
        <w:div w:id="1995379612">
          <w:marLeft w:val="0"/>
          <w:marRight w:val="0"/>
          <w:marTop w:val="0"/>
          <w:marBottom w:val="0"/>
          <w:divBdr>
            <w:top w:val="none" w:sz="0" w:space="0" w:color="auto"/>
            <w:left w:val="none" w:sz="0" w:space="0" w:color="auto"/>
            <w:bottom w:val="none" w:sz="0" w:space="0" w:color="auto"/>
            <w:right w:val="none" w:sz="0" w:space="0" w:color="auto"/>
          </w:divBdr>
        </w:div>
        <w:div w:id="134775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barstvo.sk/images/stories/nastroje/goldenberg_uvod_v.jpg" TargetMode="External"/><Relationship Id="rId13" Type="http://schemas.openxmlformats.org/officeDocument/2006/relationships/hyperlink" Target="http://www.rezbarstvo.sk/images/stories/nastroje/goldenberg_zelezo_v.jpg" TargetMode="Externa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hyperlink" Target="http://www.holzwerken.de/museum/hersteller/goldenberg_fabrik_zornhoff_1927.jpg" TargetMode="External"/><Relationship Id="rId17" Type="http://schemas.openxmlformats.org/officeDocument/2006/relationships/hyperlink" Target="http://www.rezbarstvo.sk/images/stories/nastroje/goldenberg_dlato_v.jpg" TargetMode="External"/><Relationship Id="rId25"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zbarstvo.sk/index2.php?option=com_content&amp;task=emailform&amp;id=131&amp;itemid=1" TargetMode="External"/><Relationship Id="rId11" Type="http://schemas.openxmlformats.org/officeDocument/2006/relationships/hyperlink" Target="http://www.holzwerken.de/museum/hersteller/goldenberg_fabrik_tronville_1927.jpg" TargetMode="External"/><Relationship Id="rId24" Type="http://schemas.openxmlformats.org/officeDocument/2006/relationships/image" Target="media/image13.jpeg"/><Relationship Id="rId5" Type="http://schemas.openxmlformats.org/officeDocument/2006/relationships/image" Target="media/image1.png"/><Relationship Id="rId15" Type="http://schemas.openxmlformats.org/officeDocument/2006/relationships/hyperlink" Target="http://www.rezbarstvo.sk/images/stories/nastroje/goldenberg_oko_v.jpg" TargetMode="External"/><Relationship Id="rId23" Type="http://schemas.openxmlformats.org/officeDocument/2006/relationships/image" Target="media/image12.jpeg"/><Relationship Id="rId28" Type="http://schemas.openxmlformats.org/officeDocument/2006/relationships/hyperlink" Target="http://fr.wikipedia.org/wiki/Jean-Guillaume_Goldenberg" TargetMode="Externa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hyperlink" Target="http://www.rezbarstvo.sk/index2.php?option=com_content&amp;task=view&amp;id=131&amp;pop=1&amp;page=0&amp;Itemid=1" TargetMode="Externa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1.jpeg"/><Relationship Id="rId27" Type="http://schemas.openxmlformats.org/officeDocument/2006/relationships/hyperlink" Target="http://www.holzwerken.de/museum/hersteller/goldenberg.phtml" TargetMode="Externa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723</Words>
  <Characters>4266</Characters>
  <Application>Microsoft Office Word</Application>
  <DocSecurity>0</DocSecurity>
  <Lines>35</Lines>
  <Paragraphs>9</Paragraphs>
  <ScaleCrop>false</ScaleCrop>
  <Company>Holiday Inn</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5</cp:revision>
  <dcterms:created xsi:type="dcterms:W3CDTF">2008-04-11T09:07:00Z</dcterms:created>
  <dcterms:modified xsi:type="dcterms:W3CDTF">2013-10-12T06:48:00Z</dcterms:modified>
</cp:coreProperties>
</file>